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3764" w:type="dxa"/>
        <w:tblCellMar>
          <w:left w:w="0" w:type="dxa"/>
          <w:right w:w="0" w:type="dxa"/>
        </w:tblCellMar>
        <w:tblLook w:val="04A0" w:firstRow="1" w:lastRow="0" w:firstColumn="1" w:lastColumn="0" w:noHBand="0" w:noVBand="1"/>
      </w:tblPr>
      <w:tblGrid>
        <w:gridCol w:w="421"/>
        <w:gridCol w:w="1559"/>
        <w:gridCol w:w="7229"/>
        <w:gridCol w:w="4555"/>
      </w:tblGrid>
      <w:tr w:rsidR="001B1D9B" w14:paraId="24BB88E2"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0D77F7E4" w14:textId="2F168DA4" w:rsidR="001B1D9B" w:rsidRDefault="001B1D9B" w:rsidP="00D773AD">
            <w:pPr>
              <w:rPr>
                <w:color w:val="000000"/>
                <w:sz w:val="22"/>
                <w:szCs w:val="22"/>
              </w:rPr>
            </w:pPr>
            <w:r>
              <w:rPr>
                <w:color w:val="000000"/>
                <w:sz w:val="22"/>
                <w:szCs w:val="22"/>
              </w:rPr>
              <w:t>1</w:t>
            </w:r>
          </w:p>
        </w:tc>
        <w:tc>
          <w:tcPr>
            <w:tcW w:w="1559" w:type="dxa"/>
            <w:tcBorders>
              <w:top w:val="single" w:sz="8" w:space="0" w:color="ABABAB"/>
              <w:left w:val="single" w:sz="4" w:space="0" w:color="auto"/>
              <w:bottom w:val="single" w:sz="8" w:space="0" w:color="ABABAB"/>
              <w:right w:val="single" w:sz="8" w:space="0" w:color="ABABAB"/>
            </w:tcBorders>
            <w:tcMar>
              <w:top w:w="15" w:type="dxa"/>
              <w:left w:w="15" w:type="dxa"/>
              <w:bottom w:w="15" w:type="dxa"/>
              <w:right w:w="15" w:type="dxa"/>
            </w:tcMar>
            <w:vAlign w:val="center"/>
            <w:hideMark/>
          </w:tcPr>
          <w:p w14:paraId="7507F244" w14:textId="07E59453" w:rsidR="001B1D9B" w:rsidRDefault="001B1D9B" w:rsidP="00D773AD">
            <w:r>
              <w:rPr>
                <w:color w:val="000000"/>
                <w:sz w:val="22"/>
                <w:szCs w:val="22"/>
              </w:rPr>
              <w:t>4.1.2 B Payment terms</w:t>
            </w:r>
          </w:p>
        </w:tc>
        <w:tc>
          <w:tcPr>
            <w:tcW w:w="7229" w:type="dxa"/>
            <w:tcBorders>
              <w:top w:val="single" w:sz="8" w:space="0" w:color="auto"/>
              <w:left w:val="nil"/>
              <w:bottom w:val="single" w:sz="8" w:space="0" w:color="auto"/>
              <w:right w:val="single" w:sz="8" w:space="0" w:color="auto"/>
            </w:tcBorders>
            <w:tcMar>
              <w:top w:w="15" w:type="dxa"/>
              <w:left w:w="15" w:type="dxa"/>
              <w:bottom w:w="15" w:type="dxa"/>
              <w:right w:w="15" w:type="dxa"/>
            </w:tcMar>
            <w:vAlign w:val="center"/>
          </w:tcPr>
          <w:p w14:paraId="4CE6045A" w14:textId="77777777" w:rsidR="001B1D9B" w:rsidRDefault="001B1D9B" w:rsidP="00D773AD">
            <w:r>
              <w:rPr>
                <w:color w:val="000000"/>
                <w:sz w:val="22"/>
                <w:szCs w:val="22"/>
              </w:rPr>
              <w:t>Advance payment bond for the 2</w:t>
            </w:r>
            <w:r>
              <w:rPr>
                <w:color w:val="000000"/>
                <w:sz w:val="22"/>
                <w:szCs w:val="22"/>
                <w:vertAlign w:val="superscript"/>
              </w:rPr>
              <w:t>nd</w:t>
            </w:r>
            <w:r>
              <w:rPr>
                <w:color w:val="000000"/>
                <w:sz w:val="22"/>
                <w:szCs w:val="22"/>
              </w:rPr>
              <w:t> instalment is not acceptable. Spreader will already be constructed, transported and delivered.  Request to delete 4.1.2 point B and 4.1.3 point B</w:t>
            </w:r>
          </w:p>
          <w:p w14:paraId="2F41CF08" w14:textId="77777777" w:rsidR="001B1D9B" w:rsidRDefault="001B1D9B" w:rsidP="00D773AD"/>
          <w:p w14:paraId="0AB033AF" w14:textId="1EDB3B52" w:rsidR="001B1D9B" w:rsidRDefault="001B1D9B" w:rsidP="00D773AD">
            <w:r>
              <w:rPr>
                <w:color w:val="0C882A"/>
                <w:sz w:val="22"/>
                <w:szCs w:val="22"/>
              </w:rPr>
              <w:t>BCT does not accept: Not acceptable as the product shall be handed later,  during the final acceptance protocol.</w:t>
            </w:r>
          </w:p>
        </w:tc>
      </w:tr>
      <w:tr w:rsidR="001B1D9B" w14:paraId="7BD928E3"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5ECA098E" w14:textId="0F44A718" w:rsidR="001B1D9B" w:rsidRDefault="001B1D9B" w:rsidP="00D773AD">
            <w:pPr>
              <w:rPr>
                <w:color w:val="000000"/>
                <w:sz w:val="22"/>
                <w:szCs w:val="22"/>
              </w:rPr>
            </w:pPr>
            <w:r>
              <w:rPr>
                <w:color w:val="000000"/>
                <w:sz w:val="22"/>
                <w:szCs w:val="22"/>
              </w:rPr>
              <w:t>2</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497F0471" w14:textId="4E6DA119" w:rsidR="001B1D9B" w:rsidRDefault="001B1D9B" w:rsidP="00D773AD">
            <w:r>
              <w:rPr>
                <w:color w:val="000000"/>
                <w:sz w:val="22"/>
                <w:szCs w:val="22"/>
              </w:rPr>
              <w:t>6. Liability for delays</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8DA41B0" w14:textId="77777777" w:rsidR="001B1D9B" w:rsidRDefault="001B1D9B" w:rsidP="00D773AD">
            <w:r>
              <w:rPr>
                <w:color w:val="000000"/>
                <w:sz w:val="22"/>
                <w:szCs w:val="22"/>
              </w:rPr>
              <w:t>Requesting to lower max LD to 5%</w:t>
            </w:r>
          </w:p>
          <w:p w14:paraId="5816C039" w14:textId="77777777" w:rsidR="001B1D9B" w:rsidRDefault="001B1D9B" w:rsidP="00D773AD">
            <w:r>
              <w:rPr>
                <w:color w:val="0C882A"/>
                <w:sz w:val="22"/>
                <w:szCs w:val="22"/>
                <w:shd w:val="clear" w:color="auto" w:fill="FFFFFF"/>
              </w:rPr>
              <w:t>Not acceptable as other bidders in the EU tenders have the same terms.</w:t>
            </w:r>
          </w:p>
        </w:tc>
      </w:tr>
      <w:tr w:rsidR="001B1D9B" w14:paraId="12404466"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5860BF36" w14:textId="57CB0761" w:rsidR="001B1D9B" w:rsidRDefault="001B1D9B" w:rsidP="00D773AD">
            <w:pPr>
              <w:rPr>
                <w:color w:val="000000"/>
                <w:sz w:val="22"/>
                <w:szCs w:val="22"/>
              </w:rPr>
            </w:pPr>
            <w:r>
              <w:rPr>
                <w:color w:val="000000"/>
                <w:sz w:val="22"/>
                <w:szCs w:val="22"/>
              </w:rPr>
              <w:t>3</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55029908" w14:textId="07DD85C0" w:rsidR="001B1D9B" w:rsidRDefault="001B1D9B" w:rsidP="00D773AD">
            <w:r>
              <w:rPr>
                <w:color w:val="000000"/>
                <w:sz w:val="22"/>
                <w:szCs w:val="22"/>
              </w:rPr>
              <w:t>7. Transfer of risk and ownership</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5FB59874" w14:textId="77777777" w:rsidR="001B1D9B" w:rsidRDefault="001B1D9B" w:rsidP="00D773AD">
            <w:pPr>
              <w:rPr>
                <w:color w:val="000000"/>
                <w:sz w:val="22"/>
                <w:szCs w:val="22"/>
              </w:rPr>
            </w:pPr>
            <w:r>
              <w:rPr>
                <w:color w:val="000000"/>
                <w:sz w:val="22"/>
                <w:szCs w:val="22"/>
              </w:rPr>
              <w:t>Risk of loss or damage should be transferred to the Buyer at delivery as the product is no longer under our protection and control.</w:t>
            </w:r>
          </w:p>
          <w:p w14:paraId="65403B21" w14:textId="77777777" w:rsidR="001B1D9B" w:rsidRDefault="001B1D9B" w:rsidP="00D773AD"/>
          <w:p w14:paraId="54A67E18" w14:textId="494ECFB2" w:rsidR="001B1D9B" w:rsidRDefault="001B1D9B" w:rsidP="00D773AD">
            <w:r>
              <w:rPr>
                <w:color w:val="0C882A"/>
                <w:sz w:val="22"/>
                <w:szCs w:val="22"/>
              </w:rPr>
              <w:t>BCT does not accept: BCT has a security thus risk of theft or damage is very low, yet the final acceptance protocol is performed during one business day in the presence of the contractor. Only from that point BCT can use a spreader for daily operations. </w:t>
            </w:r>
          </w:p>
        </w:tc>
      </w:tr>
      <w:tr w:rsidR="001B1D9B" w14:paraId="5BA8A09C"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5FF7587C" w14:textId="22E6EEE7" w:rsidR="001B1D9B" w:rsidRDefault="001B1D9B" w:rsidP="00D773AD">
            <w:pPr>
              <w:rPr>
                <w:color w:val="000000"/>
                <w:sz w:val="22"/>
                <w:szCs w:val="22"/>
              </w:rPr>
            </w:pPr>
            <w:r>
              <w:rPr>
                <w:color w:val="000000"/>
                <w:sz w:val="22"/>
                <w:szCs w:val="22"/>
              </w:rPr>
              <w:t>4</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468CC330" w14:textId="129457C2" w:rsidR="001B1D9B" w:rsidRDefault="001B1D9B" w:rsidP="00D773AD">
            <w:r>
              <w:rPr>
                <w:color w:val="000000"/>
                <w:sz w:val="22"/>
                <w:szCs w:val="22"/>
              </w:rPr>
              <w:t>15. LIMITATION OF LIABILITY</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128E2E1" w14:textId="77777777" w:rsidR="001B1D9B" w:rsidRDefault="001B1D9B" w:rsidP="00D773AD">
            <w:r>
              <w:rPr>
                <w:color w:val="000000"/>
                <w:sz w:val="22"/>
                <w:szCs w:val="22"/>
              </w:rPr>
              <w:t>Please include the following changes: </w:t>
            </w:r>
          </w:p>
          <w:p w14:paraId="38948E6E" w14:textId="77777777" w:rsidR="001B1D9B" w:rsidRDefault="001B1D9B" w:rsidP="00D773AD">
            <w:r>
              <w:rPr>
                <w:color w:val="000000"/>
                <w:sz w:val="22"/>
                <w:szCs w:val="22"/>
              </w:rPr>
              <w:t>Except as expressly provided in this agreement or as required by mandatory law, the parties' liability for actual direct losses suffered by the other party under this agreement shall be limited to 100% of the Purchase Price with a maximum of EUR 500.000. In no event shall the parties be liable for indirect damages or lost profits of the other party.</w:t>
            </w:r>
          </w:p>
          <w:p w14:paraId="3628F0BF" w14:textId="68BEEDF6" w:rsidR="001B1D9B" w:rsidRDefault="001B1D9B" w:rsidP="00D773AD">
            <w:r>
              <w:rPr>
                <w:color w:val="0C882A"/>
                <w:sz w:val="22"/>
                <w:szCs w:val="22"/>
              </w:rPr>
              <w:t xml:space="preserve"> </w:t>
            </w:r>
            <w:r>
              <w:rPr>
                <w:color w:val="0C882A"/>
                <w:sz w:val="22"/>
                <w:szCs w:val="22"/>
                <w:shd w:val="clear" w:color="auto" w:fill="FFFFFF"/>
              </w:rPr>
              <w:t xml:space="preserve">BCT: accepts  </w:t>
            </w:r>
          </w:p>
        </w:tc>
      </w:tr>
      <w:tr w:rsidR="001B1D9B" w14:paraId="2ACFFD3E" w14:textId="77777777" w:rsidTr="001B1D9B">
        <w:trPr>
          <w:gridAfter w:val="1"/>
          <w:wAfter w:w="4555" w:type="dxa"/>
          <w:trHeight w:val="1444"/>
        </w:trPr>
        <w:tc>
          <w:tcPr>
            <w:tcW w:w="421" w:type="dxa"/>
            <w:tcBorders>
              <w:top w:val="single" w:sz="4" w:space="0" w:color="auto"/>
              <w:left w:val="single" w:sz="4" w:space="0" w:color="auto"/>
              <w:bottom w:val="single" w:sz="4" w:space="0" w:color="auto"/>
              <w:right w:val="single" w:sz="4" w:space="0" w:color="auto"/>
            </w:tcBorders>
          </w:tcPr>
          <w:p w14:paraId="3E9B12CF" w14:textId="1067E585" w:rsidR="001B1D9B" w:rsidRDefault="001B1D9B" w:rsidP="00D773AD">
            <w:pPr>
              <w:rPr>
                <w:color w:val="000000"/>
                <w:sz w:val="22"/>
                <w:szCs w:val="22"/>
              </w:rPr>
            </w:pPr>
            <w:r>
              <w:rPr>
                <w:color w:val="000000"/>
                <w:sz w:val="22"/>
                <w:szCs w:val="22"/>
              </w:rPr>
              <w:t>5</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6F26569D" w14:textId="2F0A70ED" w:rsidR="001B1D9B" w:rsidRDefault="001B1D9B" w:rsidP="00D773AD">
            <w:r>
              <w:rPr>
                <w:color w:val="000000"/>
                <w:sz w:val="22"/>
                <w:szCs w:val="22"/>
              </w:rPr>
              <w:t>18. Force majeure</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CD5ABFD" w14:textId="77777777" w:rsidR="001B1D9B" w:rsidRDefault="001B1D9B" w:rsidP="00D773AD">
            <w:r>
              <w:rPr>
                <w:color w:val="000000"/>
                <w:sz w:val="22"/>
                <w:szCs w:val="22"/>
              </w:rPr>
              <w:t>Please add the following events:</w:t>
            </w:r>
          </w:p>
          <w:p w14:paraId="1C33D291" w14:textId="77777777" w:rsidR="001B1D9B" w:rsidRDefault="001B1D9B" w:rsidP="00D773AD">
            <w:pPr>
              <w:rPr>
                <w:color w:val="000000"/>
                <w:sz w:val="22"/>
                <w:szCs w:val="22"/>
              </w:rPr>
            </w:pPr>
            <w:r>
              <w:rPr>
                <w:color w:val="000000"/>
                <w:sz w:val="22"/>
                <w:szCs w:val="22"/>
              </w:rPr>
              <w:t>The non-availability of flat racks, refusal by the captain to load the Products, offloading of the Products on route, slow steaming, bad weather, conditions, delay in custom clearance etc.</w:t>
            </w:r>
          </w:p>
          <w:p w14:paraId="664EB35F" w14:textId="71348660" w:rsidR="001B1D9B" w:rsidRDefault="001B1D9B" w:rsidP="00D773AD"/>
          <w:p w14:paraId="0B21CD5C" w14:textId="259421DC" w:rsidR="001B1D9B" w:rsidRDefault="001B1D9B" w:rsidP="00D773AD">
            <w:r>
              <w:rPr>
                <w:color w:val="0C882A"/>
                <w:sz w:val="22"/>
                <w:szCs w:val="22"/>
              </w:rPr>
              <w:t>BCT does not accept. The contract is going to be awarded based on DAP Incoterm 2020, thus all risk remain with the contractor who is obliged to insure goods in transit against "all risks".</w:t>
            </w:r>
          </w:p>
        </w:tc>
      </w:tr>
      <w:tr w:rsidR="001B1D9B" w14:paraId="77F11FC3"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0CCD9135" w14:textId="7CDCCB5F" w:rsidR="001B1D9B" w:rsidRDefault="001B1D9B" w:rsidP="00D773AD">
            <w:pPr>
              <w:rPr>
                <w:color w:val="000000"/>
                <w:sz w:val="22"/>
                <w:szCs w:val="22"/>
              </w:rPr>
            </w:pPr>
            <w:r>
              <w:rPr>
                <w:color w:val="000000"/>
                <w:sz w:val="22"/>
                <w:szCs w:val="22"/>
              </w:rPr>
              <w:t>6</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0832FD8E" w14:textId="5E2D5974" w:rsidR="001B1D9B" w:rsidRDefault="001B1D9B" w:rsidP="00D773AD">
            <w:r>
              <w:rPr>
                <w:color w:val="000000"/>
                <w:sz w:val="22"/>
                <w:szCs w:val="22"/>
              </w:rPr>
              <w:t>24. Insurance</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2735F5BF" w14:textId="77777777" w:rsidR="001B1D9B" w:rsidRDefault="001B1D9B" w:rsidP="00D773AD">
            <w:r>
              <w:rPr>
                <w:color w:val="000000"/>
                <w:sz w:val="22"/>
                <w:szCs w:val="22"/>
              </w:rPr>
              <w:t>24.2 Please include the following changes: </w:t>
            </w:r>
          </w:p>
          <w:p w14:paraId="5C216CF6" w14:textId="77777777" w:rsidR="001B1D9B" w:rsidRDefault="001B1D9B" w:rsidP="00D773AD">
            <w:r>
              <w:rPr>
                <w:color w:val="000000"/>
                <w:sz w:val="22"/>
                <w:szCs w:val="22"/>
              </w:rPr>
              <w:t>The Seller’s total liability for all reinstatements during the Policy Term shall not exceed 100% of the original Sum Insured.</w:t>
            </w:r>
          </w:p>
          <w:p w14:paraId="095E0BA3" w14:textId="1D9DB247" w:rsidR="001B1D9B" w:rsidRDefault="001B1D9B" w:rsidP="00D773AD">
            <w:r>
              <w:rPr>
                <w:color w:val="0C882A"/>
                <w:sz w:val="22"/>
                <w:szCs w:val="22"/>
                <w:shd w:val="clear" w:color="auto" w:fill="FFFFFF"/>
              </w:rPr>
              <w:t xml:space="preserve">BCT: accepts  </w:t>
            </w:r>
          </w:p>
        </w:tc>
      </w:tr>
      <w:tr w:rsidR="001B1D9B" w14:paraId="541B9813" w14:textId="77777777" w:rsidTr="001B1D9B">
        <w:trPr>
          <w:gridAfter w:val="1"/>
          <w:wAfter w:w="4555" w:type="dxa"/>
          <w:trHeight w:val="330"/>
        </w:trPr>
        <w:tc>
          <w:tcPr>
            <w:tcW w:w="421" w:type="dxa"/>
            <w:tcBorders>
              <w:top w:val="single" w:sz="4" w:space="0" w:color="auto"/>
              <w:left w:val="single" w:sz="4" w:space="0" w:color="auto"/>
              <w:bottom w:val="single" w:sz="4" w:space="0" w:color="auto"/>
              <w:right w:val="single" w:sz="4" w:space="0" w:color="auto"/>
            </w:tcBorders>
          </w:tcPr>
          <w:p w14:paraId="045CEEA0" w14:textId="3D72F439" w:rsidR="001B1D9B" w:rsidRDefault="001B1D9B" w:rsidP="00D773AD">
            <w:pPr>
              <w:rPr>
                <w:color w:val="000000"/>
                <w:sz w:val="22"/>
                <w:szCs w:val="22"/>
              </w:rPr>
            </w:pPr>
            <w:r>
              <w:rPr>
                <w:color w:val="000000"/>
                <w:sz w:val="22"/>
                <w:szCs w:val="22"/>
              </w:rPr>
              <w:t>7</w:t>
            </w:r>
          </w:p>
        </w:tc>
        <w:tc>
          <w:tcPr>
            <w:tcW w:w="1559" w:type="dxa"/>
            <w:tcBorders>
              <w:top w:val="nil"/>
              <w:left w:val="single" w:sz="4" w:space="0" w:color="auto"/>
              <w:bottom w:val="single" w:sz="8" w:space="0" w:color="auto"/>
              <w:right w:val="single" w:sz="8" w:space="0" w:color="auto"/>
            </w:tcBorders>
            <w:tcMar>
              <w:top w:w="15" w:type="dxa"/>
              <w:left w:w="15" w:type="dxa"/>
              <w:bottom w:w="15" w:type="dxa"/>
              <w:right w:w="15" w:type="dxa"/>
            </w:tcMar>
            <w:vAlign w:val="center"/>
            <w:hideMark/>
          </w:tcPr>
          <w:p w14:paraId="785C7AD7" w14:textId="45485E78" w:rsidR="001B1D9B" w:rsidRDefault="001B1D9B" w:rsidP="00D773AD">
            <w:r>
              <w:rPr>
                <w:color w:val="000000"/>
                <w:sz w:val="22"/>
                <w:szCs w:val="22"/>
              </w:rPr>
              <w:t>Attachment 1 Advance payment bond format</w:t>
            </w:r>
          </w:p>
        </w:tc>
        <w:tc>
          <w:tcPr>
            <w:tcW w:w="7229" w:type="dxa"/>
            <w:tcBorders>
              <w:top w:val="nil"/>
              <w:left w:val="nil"/>
              <w:bottom w:val="single" w:sz="8" w:space="0" w:color="auto"/>
              <w:right w:val="single" w:sz="8" w:space="0" w:color="auto"/>
            </w:tcBorders>
            <w:tcMar>
              <w:top w:w="15" w:type="dxa"/>
              <w:left w:w="15" w:type="dxa"/>
              <w:bottom w:w="15" w:type="dxa"/>
              <w:right w:w="15" w:type="dxa"/>
            </w:tcMar>
            <w:vAlign w:val="center"/>
            <w:hideMark/>
          </w:tcPr>
          <w:p w14:paraId="0EE185D1" w14:textId="13BA8F81" w:rsidR="001B1D9B" w:rsidRDefault="001B1D9B" w:rsidP="00D773AD">
            <w:r>
              <w:rPr>
                <w:color w:val="000000"/>
                <w:sz w:val="22"/>
                <w:szCs w:val="22"/>
              </w:rPr>
              <w:t>The payment bond template will be accepted by Bidder, however with the condition that one of below BIC/SWIFT ID’s will be applicable:</w:t>
            </w:r>
          </w:p>
          <w:p w14:paraId="7CD75234" w14:textId="135AA8D6" w:rsidR="001B1D9B" w:rsidRDefault="001B1D9B" w:rsidP="00D773AD">
            <w:r>
              <w:rPr>
                <w:color w:val="0C882A"/>
                <w:sz w:val="22"/>
                <w:szCs w:val="22"/>
              </w:rPr>
              <w:t>BCT accepts: Bank HSCB Continental Europe is OK, as an example of acceptable bank.</w:t>
            </w:r>
          </w:p>
          <w:p w14:paraId="6B798654" w14:textId="77777777" w:rsidR="001B1D9B" w:rsidRDefault="001B1D9B" w:rsidP="00D773AD">
            <w:r>
              <w:rPr>
                <w:color w:val="000000"/>
                <w:sz w:val="22"/>
                <w:szCs w:val="22"/>
              </w:rPr>
              <w:t> </w:t>
            </w:r>
          </w:p>
          <w:p w14:paraId="30234505" w14:textId="660213B5" w:rsidR="001B1D9B" w:rsidRDefault="001B1D9B" w:rsidP="00D773AD"/>
        </w:tc>
      </w:tr>
      <w:tr w:rsidR="001B1D9B" w:rsidRPr="00501D52" w14:paraId="4E397DD8" w14:textId="59B475D3" w:rsidTr="001B1D9B">
        <w:tblPrEx>
          <w:tblCellMar>
            <w:left w:w="108" w:type="dxa"/>
            <w:right w:w="108" w:type="dxa"/>
          </w:tblCellMar>
        </w:tblPrEx>
        <w:trPr>
          <w:trHeight w:val="945"/>
        </w:trPr>
        <w:tc>
          <w:tcPr>
            <w:tcW w:w="421" w:type="dxa"/>
            <w:tcBorders>
              <w:top w:val="single" w:sz="4" w:space="0" w:color="auto"/>
              <w:left w:val="single" w:sz="4" w:space="0" w:color="auto"/>
              <w:bottom w:val="single" w:sz="4" w:space="0" w:color="auto"/>
            </w:tcBorders>
          </w:tcPr>
          <w:p w14:paraId="023F2EBA" w14:textId="7E0FFA28" w:rsidR="001B1D9B" w:rsidRPr="00501D52" w:rsidRDefault="001B1D9B" w:rsidP="00D773AD">
            <w:pPr>
              <w:rPr>
                <w:rFonts w:ascii="Calibri" w:eastAsia="Times New Roman" w:hAnsi="Calibri" w:cs="Calibri"/>
                <w:color w:val="000000"/>
                <w:sz w:val="22"/>
                <w:szCs w:val="22"/>
              </w:rPr>
            </w:pPr>
            <w:r>
              <w:rPr>
                <w:rFonts w:ascii="Calibri" w:eastAsia="Times New Roman" w:hAnsi="Calibri" w:cs="Calibri"/>
                <w:color w:val="000000"/>
                <w:sz w:val="22"/>
                <w:szCs w:val="22"/>
              </w:rPr>
              <w:t>8</w:t>
            </w:r>
          </w:p>
        </w:tc>
        <w:tc>
          <w:tcPr>
            <w:tcW w:w="8788" w:type="dxa"/>
            <w:gridSpan w:val="2"/>
            <w:tcBorders>
              <w:top w:val="single" w:sz="4" w:space="0" w:color="auto"/>
              <w:left w:val="single" w:sz="4" w:space="0" w:color="auto"/>
              <w:bottom w:val="single" w:sz="4" w:space="0" w:color="auto"/>
              <w:right w:val="single" w:sz="4" w:space="0" w:color="auto"/>
            </w:tcBorders>
            <w:vAlign w:val="center"/>
            <w:hideMark/>
          </w:tcPr>
          <w:p w14:paraId="49BC3C0F" w14:textId="77777777" w:rsidR="002C4AE4" w:rsidRDefault="001B1D9B" w:rsidP="001B1D9B">
            <w:pPr>
              <w:spacing w:after="160" w:line="278" w:lineRule="auto"/>
              <w:rPr>
                <w:rFonts w:ascii="Calibri" w:hAnsi="Calibri" w:cs="Calibri"/>
                <w:color w:val="00B050"/>
                <w:sz w:val="22"/>
                <w:szCs w:val="22"/>
              </w:rPr>
            </w:pPr>
            <w:r w:rsidRPr="00501D52">
              <w:rPr>
                <w:rFonts w:ascii="Calibri" w:eastAsia="Times New Roman" w:hAnsi="Calibri" w:cs="Calibri"/>
                <w:color w:val="000000"/>
                <w:sz w:val="22"/>
                <w:szCs w:val="22"/>
              </w:rPr>
              <w:t>Please confirm that a 200mm side shift function in both directions should be added to SoW of schedule 5. technical specification.</w:t>
            </w:r>
            <w:r>
              <w:rPr>
                <w:rFonts w:ascii="Calibri" w:eastAsia="Times New Roman" w:hAnsi="Calibri" w:cs="Calibri"/>
                <w:color w:val="000000"/>
                <w:sz w:val="22"/>
                <w:szCs w:val="22"/>
              </w:rPr>
              <w:t xml:space="preserve"> </w:t>
            </w:r>
            <w:r w:rsidRPr="00D773AD">
              <w:rPr>
                <w:rFonts w:ascii="Calibri" w:hAnsi="Calibri" w:cs="Calibri"/>
                <w:color w:val="00B050"/>
                <w:sz w:val="22"/>
                <w:szCs w:val="22"/>
              </w:rPr>
              <w:t xml:space="preserve"> </w:t>
            </w:r>
          </w:p>
          <w:p w14:paraId="07BF3AA5" w14:textId="6AE40C64" w:rsidR="001B1D9B" w:rsidRPr="001B1D9B" w:rsidRDefault="001B1D9B" w:rsidP="001B1D9B">
            <w:pPr>
              <w:spacing w:after="160" w:line="278" w:lineRule="auto"/>
              <w:rPr>
                <w:rFonts w:ascii="Calibri" w:hAnsi="Calibri" w:cs="Calibri"/>
                <w:color w:val="00B050"/>
                <w:sz w:val="22"/>
                <w:szCs w:val="22"/>
              </w:rPr>
            </w:pPr>
            <w:r w:rsidRPr="00D773AD">
              <w:rPr>
                <w:rFonts w:ascii="Calibri" w:hAnsi="Calibri" w:cs="Calibri"/>
                <w:color w:val="00B050"/>
                <w:sz w:val="22"/>
                <w:szCs w:val="22"/>
              </w:rPr>
              <w:t>Yes, BCT required, the</w:t>
            </w:r>
            <w:r>
              <w:rPr>
                <w:rFonts w:ascii="Calibri" w:hAnsi="Calibri" w:cs="Calibri"/>
                <w:color w:val="00B050"/>
                <w:sz w:val="22"/>
                <w:szCs w:val="22"/>
              </w:rPr>
              <w:t xml:space="preserve"> </w:t>
            </w:r>
            <w:r w:rsidRPr="00D773AD">
              <w:rPr>
                <w:rFonts w:ascii="Calibri" w:hAnsi="Calibri" w:cs="Calibri"/>
                <w:color w:val="00B050"/>
                <w:sz w:val="22"/>
                <w:szCs w:val="22"/>
              </w:rPr>
              <w:t xml:space="preserve">side shift function should be </w:t>
            </w:r>
            <w:r w:rsidRPr="00D773AD">
              <w:rPr>
                <w:rFonts w:ascii="Aptos Narrow" w:hAnsi="Aptos Narrow" w:cs="Calibri"/>
                <w:color w:val="00B050"/>
                <w:sz w:val="22"/>
                <w:szCs w:val="22"/>
              </w:rPr>
              <w:t>±</w:t>
            </w:r>
            <w:r w:rsidRPr="00D773AD">
              <w:rPr>
                <w:rFonts w:ascii="Calibri" w:hAnsi="Calibri" w:cs="Calibri"/>
                <w:color w:val="00B050"/>
                <w:sz w:val="25"/>
                <w:szCs w:val="25"/>
              </w:rPr>
              <w:t>300mm</w:t>
            </w:r>
            <w:r w:rsidRPr="00D773AD">
              <w:rPr>
                <w:rFonts w:ascii="Calibri" w:hAnsi="Calibri" w:cs="Calibri"/>
                <w:color w:val="00B050"/>
                <w:sz w:val="22"/>
                <w:szCs w:val="22"/>
              </w:rPr>
              <w:t>/both directions/</w:t>
            </w:r>
          </w:p>
        </w:tc>
        <w:tc>
          <w:tcPr>
            <w:tcW w:w="4555" w:type="dxa"/>
            <w:vAlign w:val="center"/>
          </w:tcPr>
          <w:p w14:paraId="7B1912F7" w14:textId="1936C53E" w:rsidR="001B1D9B" w:rsidRPr="00D773AD" w:rsidRDefault="001B1D9B" w:rsidP="00D773AD">
            <w:pPr>
              <w:spacing w:after="160" w:line="278" w:lineRule="auto"/>
              <w:rPr>
                <w:rFonts w:ascii="Times New Roman" w:eastAsia="Times New Roman" w:hAnsi="Times New Roman" w:cs="Times New Roman"/>
                <w:color w:val="00B050"/>
                <w:sz w:val="20"/>
                <w:szCs w:val="20"/>
              </w:rPr>
            </w:pPr>
          </w:p>
        </w:tc>
      </w:tr>
      <w:tr w:rsidR="001B1D9B" w:rsidRPr="00501D52" w14:paraId="5019E72E" w14:textId="77777777" w:rsidTr="001B1D9B">
        <w:tblPrEx>
          <w:tblCellMar>
            <w:left w:w="108" w:type="dxa"/>
            <w:right w:w="108" w:type="dxa"/>
          </w:tblCellMar>
        </w:tblPrEx>
        <w:trPr>
          <w:gridAfter w:val="1"/>
          <w:wAfter w:w="4555" w:type="dxa"/>
          <w:trHeight w:val="450"/>
        </w:trPr>
        <w:tc>
          <w:tcPr>
            <w:tcW w:w="421" w:type="dxa"/>
            <w:tcBorders>
              <w:top w:val="single" w:sz="4" w:space="0" w:color="auto"/>
              <w:left w:val="single" w:sz="4" w:space="0" w:color="auto"/>
              <w:bottom w:val="single" w:sz="4" w:space="0" w:color="auto"/>
            </w:tcBorders>
          </w:tcPr>
          <w:p w14:paraId="75585F24" w14:textId="77777777" w:rsidR="001B1D9B" w:rsidRDefault="001B1D9B" w:rsidP="00D773AD">
            <w:pPr>
              <w:rPr>
                <w:rFonts w:ascii="Calibri" w:eastAsia="Times New Roman" w:hAnsi="Calibri" w:cs="Calibri"/>
                <w:color w:val="000000"/>
                <w:sz w:val="22"/>
                <w:szCs w:val="22"/>
              </w:rPr>
            </w:pPr>
            <w:r>
              <w:rPr>
                <w:rFonts w:ascii="Calibri" w:eastAsia="Times New Roman" w:hAnsi="Calibri" w:cs="Calibri"/>
                <w:color w:val="000000"/>
                <w:sz w:val="22"/>
                <w:szCs w:val="22"/>
              </w:rPr>
              <w:t>9</w:t>
            </w:r>
          </w:p>
          <w:p w14:paraId="395D20F7" w14:textId="45FCCD5D" w:rsidR="001B1D9B" w:rsidRPr="00501D52" w:rsidRDefault="001B1D9B" w:rsidP="00D773AD">
            <w:pPr>
              <w:rPr>
                <w:rFonts w:ascii="Calibri" w:eastAsia="Times New Roman" w:hAnsi="Calibri" w:cs="Calibri"/>
                <w:color w:val="000000"/>
                <w:sz w:val="22"/>
                <w:szCs w:val="22"/>
              </w:rPr>
            </w:pPr>
          </w:p>
        </w:tc>
        <w:tc>
          <w:tcPr>
            <w:tcW w:w="8788" w:type="dxa"/>
            <w:gridSpan w:val="2"/>
            <w:tcBorders>
              <w:top w:val="nil"/>
              <w:left w:val="single" w:sz="4" w:space="0" w:color="auto"/>
              <w:bottom w:val="single" w:sz="4" w:space="0" w:color="auto"/>
              <w:right w:val="single" w:sz="4" w:space="0" w:color="auto"/>
            </w:tcBorders>
            <w:vAlign w:val="center"/>
            <w:hideMark/>
          </w:tcPr>
          <w:p w14:paraId="1A25778E" w14:textId="77777777" w:rsidR="001B1D9B" w:rsidRDefault="001B1D9B" w:rsidP="00D773AD">
            <w:pPr>
              <w:rPr>
                <w:rFonts w:ascii="Calibri" w:eastAsia="Times New Roman" w:hAnsi="Calibri" w:cs="Calibri"/>
                <w:color w:val="000000"/>
                <w:sz w:val="22"/>
                <w:szCs w:val="22"/>
              </w:rPr>
            </w:pPr>
            <w:r w:rsidRPr="00501D52">
              <w:rPr>
                <w:rFonts w:ascii="Calibri" w:eastAsia="Times New Roman" w:hAnsi="Calibri" w:cs="Calibri"/>
                <w:color w:val="000000"/>
                <w:sz w:val="22"/>
                <w:szCs w:val="22"/>
              </w:rPr>
              <w:t xml:space="preserve">Please confirm the required heating functions to be included in </w:t>
            </w:r>
            <w:proofErr w:type="spellStart"/>
            <w:r w:rsidRPr="00501D52">
              <w:rPr>
                <w:rFonts w:ascii="Calibri" w:eastAsia="Times New Roman" w:hAnsi="Calibri" w:cs="Calibri"/>
                <w:color w:val="000000"/>
                <w:sz w:val="22"/>
                <w:szCs w:val="22"/>
              </w:rPr>
              <w:t>SoW.</w:t>
            </w:r>
            <w:proofErr w:type="spellEnd"/>
            <w:r w:rsidRPr="00501D52">
              <w:rPr>
                <w:rFonts w:ascii="Calibri" w:eastAsia="Times New Roman" w:hAnsi="Calibri" w:cs="Calibri"/>
                <w:color w:val="000000"/>
                <w:sz w:val="22"/>
                <w:szCs w:val="22"/>
              </w:rPr>
              <w:t xml:space="preserve"> </w:t>
            </w:r>
          </w:p>
          <w:p w14:paraId="0E9DA043" w14:textId="31947BC9" w:rsidR="001B1D9B" w:rsidRPr="001B1D9B" w:rsidRDefault="001B1D9B" w:rsidP="00D773AD">
            <w:pPr>
              <w:rPr>
                <w:rFonts w:ascii="Calibri" w:eastAsia="Times New Roman" w:hAnsi="Calibri" w:cs="Calibri"/>
                <w:color w:val="4EA72E" w:themeColor="accent6"/>
                <w:sz w:val="22"/>
                <w:szCs w:val="22"/>
              </w:rPr>
            </w:pPr>
            <w:r>
              <w:rPr>
                <w:rFonts w:ascii="Calibri" w:eastAsia="Times New Roman" w:hAnsi="Calibri" w:cs="Calibri"/>
                <w:color w:val="4EA72E" w:themeColor="accent6"/>
                <w:sz w:val="22"/>
                <w:szCs w:val="22"/>
              </w:rPr>
              <w:t>BCT Accepts</w:t>
            </w:r>
          </w:p>
        </w:tc>
      </w:tr>
    </w:tbl>
    <w:p w14:paraId="701A5FEA" w14:textId="77777777" w:rsidR="004D5533" w:rsidRDefault="00D773AD">
      <w:r>
        <w:t xml:space="preserve"> </w:t>
      </w:r>
    </w:p>
    <w:tbl>
      <w:tblPr>
        <w:tblpPr w:leftFromText="180" w:rightFromText="180" w:vertAnchor="text" w:tblpY="1"/>
        <w:tblOverlap w:val="never"/>
        <w:tblW w:w="13764" w:type="dxa"/>
        <w:tblLook w:val="04A0" w:firstRow="1" w:lastRow="0" w:firstColumn="1" w:lastColumn="0" w:noHBand="0" w:noVBand="1"/>
      </w:tblPr>
      <w:tblGrid>
        <w:gridCol w:w="656"/>
        <w:gridCol w:w="13108"/>
      </w:tblGrid>
      <w:tr w:rsidR="004D5533" w:rsidRPr="001B1D9B" w14:paraId="6E016D2C" w14:textId="77777777" w:rsidTr="0012594F">
        <w:trPr>
          <w:trHeight w:val="945"/>
        </w:trPr>
        <w:tc>
          <w:tcPr>
            <w:tcW w:w="421" w:type="dxa"/>
            <w:tcBorders>
              <w:top w:val="single" w:sz="4" w:space="0" w:color="auto"/>
              <w:left w:val="single" w:sz="4" w:space="0" w:color="auto"/>
              <w:bottom w:val="single" w:sz="4" w:space="0" w:color="auto"/>
            </w:tcBorders>
          </w:tcPr>
          <w:p w14:paraId="3EDE98C8" w14:textId="5DE50A62" w:rsidR="004D5533" w:rsidRPr="00501D52" w:rsidRDefault="004D5533" w:rsidP="0012594F">
            <w:pP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10</w:t>
            </w:r>
          </w:p>
        </w:tc>
        <w:tc>
          <w:tcPr>
            <w:tcW w:w="8788" w:type="dxa"/>
            <w:tcBorders>
              <w:top w:val="single" w:sz="4" w:space="0" w:color="auto"/>
              <w:left w:val="single" w:sz="4" w:space="0" w:color="auto"/>
              <w:bottom w:val="single" w:sz="4" w:space="0" w:color="auto"/>
              <w:right w:val="single" w:sz="4" w:space="0" w:color="auto"/>
            </w:tcBorders>
            <w:vAlign w:val="center"/>
            <w:hideMark/>
          </w:tcPr>
          <w:p w14:paraId="338BBF01" w14:textId="272D6C1B" w:rsidR="004D5533" w:rsidRDefault="004D5533" w:rsidP="004D5533">
            <w:pPr>
              <w:rPr>
                <w:lang w:val="en-GB"/>
              </w:rPr>
            </w:pPr>
            <w:r>
              <w:rPr>
                <w:rFonts w:ascii="Calibri" w:eastAsia="Times New Roman" w:hAnsi="Calibri" w:cs="Calibri"/>
                <w:color w:val="000000"/>
                <w:sz w:val="22"/>
                <w:szCs w:val="22"/>
              </w:rPr>
              <w:t xml:space="preserve"> </w:t>
            </w:r>
          </w:p>
          <w:p w14:paraId="39402644" w14:textId="059C32DD" w:rsidR="004D5533" w:rsidRDefault="004D5533" w:rsidP="004D5533">
            <w:pPr>
              <w:rPr>
                <w:rFonts w:eastAsia="Times New Roman"/>
                <w:lang w:val="en-GB"/>
              </w:rPr>
            </w:pPr>
            <w:r>
              <w:rPr>
                <w:rFonts w:eastAsia="Times New Roman"/>
                <w:lang w:val="en-GB"/>
              </w:rPr>
              <w:t xml:space="preserve"> </w:t>
            </w:r>
          </w:p>
          <w:p w14:paraId="132B5006" w14:textId="31843DB5" w:rsidR="004D5533" w:rsidRPr="004D5533" w:rsidRDefault="004D5533" w:rsidP="004D5533">
            <w:pPr>
              <w:rPr>
                <w:rFonts w:eastAsia="Times New Roman"/>
                <w:lang w:val="en-GB"/>
              </w:rPr>
            </w:pPr>
            <w:r w:rsidRPr="004D5533">
              <w:rPr>
                <w:rFonts w:eastAsia="Times New Roman"/>
                <w:lang w:val="en-GB"/>
              </w:rPr>
              <w:t>Does the RTG requires a shift of 300mm in both directions as mentioned in the attachment?</w:t>
            </w:r>
          </w:p>
          <w:p w14:paraId="4F6AAD9D" w14:textId="77777777" w:rsidR="004D5533" w:rsidRDefault="004D5533" w:rsidP="004D5533">
            <w:pPr>
              <w:pStyle w:val="Akapitzlist"/>
              <w:numPr>
                <w:ilvl w:val="0"/>
                <w:numId w:val="3"/>
              </w:numPr>
              <w:contextualSpacing w:val="0"/>
              <w:rPr>
                <w:rFonts w:eastAsia="Times New Roman"/>
                <w:lang w:val="en-GB"/>
              </w:rPr>
            </w:pPr>
            <w:r>
              <w:rPr>
                <w:rFonts w:eastAsia="Times New Roman"/>
                <w:lang w:val="en-GB"/>
              </w:rPr>
              <w:t>Please confirm which heating measurements are required (e.g. heat tracing e-motors,</w:t>
            </w:r>
          </w:p>
          <w:p w14:paraId="7FA9B4AB" w14:textId="545802A7" w:rsidR="004D5533" w:rsidRDefault="004D5533" w:rsidP="004D5533">
            <w:pPr>
              <w:pStyle w:val="Akapitzlist"/>
              <w:numPr>
                <w:ilvl w:val="0"/>
                <w:numId w:val="3"/>
              </w:numPr>
              <w:contextualSpacing w:val="0"/>
              <w:rPr>
                <w:rFonts w:eastAsia="Times New Roman"/>
                <w:lang w:val="en-GB"/>
              </w:rPr>
            </w:pPr>
            <w:r>
              <w:rPr>
                <w:rFonts w:eastAsia="Times New Roman"/>
                <w:lang w:val="en-GB"/>
              </w:rPr>
              <w:t xml:space="preserve"> heating e-cabinet).  </w:t>
            </w:r>
          </w:p>
          <w:p w14:paraId="2C84F0B2" w14:textId="77777777" w:rsidR="004D5533" w:rsidRDefault="004D5533" w:rsidP="004D5533">
            <w:pPr>
              <w:pStyle w:val="Akapitzlist"/>
              <w:rPr>
                <w:lang w:val="en-GB"/>
              </w:rPr>
            </w:pPr>
          </w:p>
          <w:p w14:paraId="031297C9" w14:textId="0DBB5111" w:rsidR="004D5533" w:rsidRDefault="004D5533" w:rsidP="004D5533">
            <w:pPr>
              <w:rPr>
                <w:i/>
                <w:iCs/>
                <w:sz w:val="22"/>
                <w:szCs w:val="22"/>
                <w:lang w:val="en-GB"/>
              </w:rPr>
            </w:pPr>
            <w:r>
              <w:rPr>
                <w:i/>
                <w:iCs/>
                <w:sz w:val="22"/>
                <w:szCs w:val="22"/>
                <w:lang w:val="en-GB"/>
              </w:rPr>
              <w:t xml:space="preserve"> </w:t>
            </w:r>
          </w:p>
          <w:p w14:paraId="7B55B98E" w14:textId="0C2E86A2" w:rsidR="004D5533" w:rsidRPr="004D5533" w:rsidRDefault="004D5533" w:rsidP="004D5533">
            <w:pPr>
              <w:rPr>
                <w:color w:val="00B050"/>
                <w:sz w:val="22"/>
                <w:szCs w:val="22"/>
                <w:lang w:val="en-GB"/>
              </w:rPr>
            </w:pPr>
            <w:r w:rsidRPr="004D5533">
              <w:rPr>
                <w:color w:val="00B050"/>
                <w:sz w:val="22"/>
                <w:szCs w:val="22"/>
                <w:lang w:val="en-GB"/>
              </w:rPr>
              <w:t xml:space="preserve">BCT:    Yes, </w:t>
            </w:r>
            <w:r w:rsidRPr="004D5533">
              <w:rPr>
                <w:color w:val="00B050"/>
                <w:sz w:val="22"/>
                <w:szCs w:val="22"/>
                <w:lang w:val="en-GB"/>
              </w:rPr>
              <w:t xml:space="preserve"> </w:t>
            </w:r>
            <w:r w:rsidRPr="004D5533">
              <w:rPr>
                <w:color w:val="00B050"/>
                <w:sz w:val="22"/>
                <w:szCs w:val="22"/>
                <w:lang w:val="en-GB"/>
              </w:rPr>
              <w:t xml:space="preserve"> For RTG, the requirement is ±300 mm, identical to the spreaders currently in operation.</w:t>
            </w:r>
          </w:p>
          <w:p w14:paraId="22BC7DFE" w14:textId="77777777" w:rsidR="004D5533" w:rsidRPr="004D5533" w:rsidRDefault="004D5533" w:rsidP="004D5533">
            <w:pPr>
              <w:pStyle w:val="Akapitzlist"/>
              <w:rPr>
                <w:color w:val="00B050"/>
                <w:sz w:val="22"/>
                <w:szCs w:val="22"/>
                <w:lang w:val="en-GB"/>
              </w:rPr>
            </w:pPr>
            <w:r w:rsidRPr="004D5533">
              <w:rPr>
                <w:color w:val="00B050"/>
                <w:sz w:val="22"/>
                <w:szCs w:val="22"/>
                <w:lang w:val="en-GB"/>
              </w:rPr>
              <w:t>-  We confirm that for RTG spreader space heaters are required for the electric motors and the e-cabinet to ensure the spreader meets the specified climatic requirements.</w:t>
            </w:r>
          </w:p>
          <w:p w14:paraId="343A37FD" w14:textId="77777777" w:rsidR="004D5533" w:rsidRDefault="004D5533" w:rsidP="004D5533">
            <w:pPr>
              <w:rPr>
                <w:sz w:val="22"/>
                <w:szCs w:val="22"/>
              </w:rPr>
            </w:pPr>
          </w:p>
          <w:p w14:paraId="6F14049A" w14:textId="3882C006" w:rsidR="004D5533" w:rsidRPr="001B1D9B" w:rsidRDefault="004D5533" w:rsidP="0012594F">
            <w:pPr>
              <w:spacing w:after="160" w:line="278" w:lineRule="auto"/>
              <w:rPr>
                <w:rFonts w:ascii="Calibri" w:hAnsi="Calibri" w:cs="Calibri"/>
                <w:color w:val="00B050"/>
                <w:sz w:val="22"/>
                <w:szCs w:val="22"/>
              </w:rPr>
            </w:pPr>
          </w:p>
        </w:tc>
      </w:tr>
      <w:tr w:rsidR="004D5533" w:rsidRPr="001B1D9B" w14:paraId="3EB5F983" w14:textId="77777777" w:rsidTr="0012594F">
        <w:trPr>
          <w:trHeight w:val="450"/>
        </w:trPr>
        <w:tc>
          <w:tcPr>
            <w:tcW w:w="421" w:type="dxa"/>
            <w:tcBorders>
              <w:top w:val="single" w:sz="4" w:space="0" w:color="auto"/>
              <w:left w:val="single" w:sz="4" w:space="0" w:color="auto"/>
              <w:bottom w:val="single" w:sz="4" w:space="0" w:color="auto"/>
            </w:tcBorders>
          </w:tcPr>
          <w:p w14:paraId="47C61A1C" w14:textId="2C46FB7F" w:rsidR="004D5533" w:rsidRDefault="004D5533" w:rsidP="0012594F">
            <w:pPr>
              <w:rPr>
                <w:rFonts w:ascii="Calibri" w:eastAsia="Times New Roman" w:hAnsi="Calibri" w:cs="Calibri"/>
                <w:color w:val="000000"/>
                <w:sz w:val="22"/>
                <w:szCs w:val="22"/>
              </w:rPr>
            </w:pPr>
            <w:r>
              <w:rPr>
                <w:rFonts w:ascii="Calibri" w:eastAsia="Times New Roman" w:hAnsi="Calibri" w:cs="Calibri"/>
                <w:color w:val="000000"/>
                <w:sz w:val="22"/>
                <w:szCs w:val="22"/>
              </w:rPr>
              <w:t>11</w:t>
            </w:r>
          </w:p>
          <w:p w14:paraId="15E47805" w14:textId="77777777" w:rsidR="004D5533" w:rsidRPr="00501D52" w:rsidRDefault="004D5533" w:rsidP="0012594F">
            <w:pPr>
              <w:rPr>
                <w:rFonts w:ascii="Calibri" w:eastAsia="Times New Roman" w:hAnsi="Calibri" w:cs="Calibri"/>
                <w:color w:val="000000"/>
                <w:sz w:val="22"/>
                <w:szCs w:val="22"/>
              </w:rPr>
            </w:pPr>
          </w:p>
        </w:tc>
        <w:tc>
          <w:tcPr>
            <w:tcW w:w="8788" w:type="dxa"/>
            <w:tcBorders>
              <w:top w:val="nil"/>
              <w:left w:val="single" w:sz="4" w:space="0" w:color="auto"/>
              <w:bottom w:val="single" w:sz="4" w:space="0" w:color="auto"/>
              <w:right w:val="single" w:sz="4" w:space="0" w:color="auto"/>
            </w:tcBorders>
            <w:vAlign w:val="center"/>
            <w:hideMark/>
          </w:tcPr>
          <w:p w14:paraId="4DC56E28" w14:textId="203CB4F3" w:rsidR="004D5533" w:rsidRPr="004D5533" w:rsidRDefault="004D5533" w:rsidP="004D5533">
            <w:pPr>
              <w:rPr>
                <w:rFonts w:eastAsia="Times New Roman"/>
                <w:lang w:val="en-GB"/>
              </w:rPr>
            </w:pPr>
            <w:r w:rsidRPr="004D5533">
              <w:rPr>
                <w:rFonts w:eastAsia="Times New Roman"/>
                <w:lang w:val="en-GB"/>
              </w:rPr>
              <w:t xml:space="preserve"> </w:t>
            </w:r>
            <w:r w:rsidRPr="004D5533">
              <w:rPr>
                <w:rFonts w:eastAsia="Times New Roman"/>
                <w:lang w:val="en-GB"/>
              </w:rPr>
              <w:t>Please confirm which heating measurements are required (e.g. heat tracing e-motors,</w:t>
            </w:r>
          </w:p>
          <w:p w14:paraId="2A1FC60E" w14:textId="77777777" w:rsidR="004D5533" w:rsidRDefault="004D5533" w:rsidP="004D5533">
            <w:pPr>
              <w:rPr>
                <w:rFonts w:eastAsia="Times New Roman"/>
                <w:lang w:val="en-GB"/>
              </w:rPr>
            </w:pPr>
            <w:r w:rsidRPr="004D5533">
              <w:rPr>
                <w:rFonts w:eastAsia="Times New Roman"/>
                <w:lang w:val="en-GB"/>
              </w:rPr>
              <w:t xml:space="preserve"> heating e-cabinet).  </w:t>
            </w:r>
          </w:p>
          <w:p w14:paraId="7EA8FB91" w14:textId="77777777" w:rsidR="004D5533" w:rsidRDefault="004D5533" w:rsidP="004D5533">
            <w:pPr>
              <w:rPr>
                <w:rFonts w:eastAsia="Times New Roman"/>
                <w:lang w:val="en-GB"/>
              </w:rPr>
            </w:pPr>
          </w:p>
          <w:p w14:paraId="798667B5" w14:textId="77777777" w:rsidR="004D5533" w:rsidRPr="004D5533" w:rsidRDefault="004D5533" w:rsidP="004D5533">
            <w:pPr>
              <w:rPr>
                <w:color w:val="00B050"/>
                <w:sz w:val="22"/>
                <w:szCs w:val="22"/>
                <w:lang w:val="en-GB"/>
              </w:rPr>
            </w:pPr>
            <w:r w:rsidRPr="004D5533">
              <w:rPr>
                <w:color w:val="00B050"/>
                <w:sz w:val="22"/>
                <w:szCs w:val="22"/>
                <w:lang w:val="en-GB"/>
              </w:rPr>
              <w:t xml:space="preserve">BCT confirms:  </w:t>
            </w:r>
            <w:r w:rsidRPr="004D5533">
              <w:rPr>
                <w:color w:val="00B050"/>
                <w:sz w:val="22"/>
                <w:szCs w:val="22"/>
                <w:lang w:val="en-GB"/>
              </w:rPr>
              <w:t xml:space="preserve"> that for RTG spreader space heaters are required for the electric motors and </w:t>
            </w:r>
          </w:p>
          <w:p w14:paraId="3A796DD5" w14:textId="15D07788" w:rsidR="004D5533" w:rsidRPr="004D5533" w:rsidRDefault="004D5533" w:rsidP="004D5533">
            <w:pPr>
              <w:rPr>
                <w:color w:val="00B050"/>
                <w:sz w:val="22"/>
                <w:szCs w:val="22"/>
                <w:lang w:val="en-GB"/>
              </w:rPr>
            </w:pPr>
            <w:r w:rsidRPr="004D5533">
              <w:rPr>
                <w:color w:val="00B050"/>
                <w:sz w:val="22"/>
                <w:szCs w:val="22"/>
                <w:lang w:val="en-GB"/>
              </w:rPr>
              <w:t>the e-cabinet to ensure the spreader meets the specified climatic requirements.</w:t>
            </w:r>
          </w:p>
          <w:p w14:paraId="629601B1" w14:textId="77777777" w:rsidR="004D5533" w:rsidRPr="004D5533" w:rsidRDefault="004D5533" w:rsidP="004D5533">
            <w:pPr>
              <w:rPr>
                <w:rFonts w:eastAsia="Times New Roman"/>
                <w:lang w:val="en-GB"/>
              </w:rPr>
            </w:pPr>
          </w:p>
          <w:p w14:paraId="547F9CFA" w14:textId="1FFDD28A" w:rsidR="004D5533" w:rsidRPr="001B1D9B" w:rsidRDefault="004D5533" w:rsidP="0012594F">
            <w:pPr>
              <w:rPr>
                <w:rFonts w:ascii="Calibri" w:eastAsia="Times New Roman" w:hAnsi="Calibri" w:cs="Calibri"/>
                <w:color w:val="4EA72E" w:themeColor="accent6"/>
                <w:sz w:val="22"/>
                <w:szCs w:val="22"/>
              </w:rPr>
            </w:pPr>
          </w:p>
        </w:tc>
      </w:tr>
    </w:tbl>
    <w:p w14:paraId="5F6C78DD" w14:textId="401E93D6" w:rsidR="00A324F8" w:rsidRDefault="00D773AD">
      <w:r>
        <w:br w:type="textWrapping" w:clear="all"/>
      </w:r>
    </w:p>
    <w:sectPr w:rsidR="00A324F8" w:rsidSect="00507FD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9BEA2" w14:textId="77777777" w:rsidR="000077AE" w:rsidRDefault="000077AE" w:rsidP="00C53F64">
      <w:r>
        <w:separator/>
      </w:r>
    </w:p>
  </w:endnote>
  <w:endnote w:type="continuationSeparator" w:id="0">
    <w:p w14:paraId="51A03687" w14:textId="77777777" w:rsidR="000077AE" w:rsidRDefault="000077AE" w:rsidP="00C53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EEA49" w14:textId="77777777" w:rsidR="000077AE" w:rsidRDefault="000077AE" w:rsidP="00C53F64">
      <w:r>
        <w:separator/>
      </w:r>
    </w:p>
  </w:footnote>
  <w:footnote w:type="continuationSeparator" w:id="0">
    <w:p w14:paraId="1CF7482B" w14:textId="77777777" w:rsidR="000077AE" w:rsidRDefault="000077AE" w:rsidP="00C53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2ACEA" w14:textId="1B986C89" w:rsidR="00C53F64" w:rsidRPr="00C53F64" w:rsidRDefault="00C53F64" w:rsidP="00C53F64">
    <w:pPr>
      <w:rPr>
        <w:rFonts w:eastAsia="Aptos"/>
        <w:b/>
        <w:bCs/>
        <w:sz w:val="22"/>
        <w:szCs w:val="22"/>
        <w:lang w:eastAsia="pl-PL"/>
      </w:rPr>
    </w:pPr>
    <w:r w:rsidRPr="00C53F64">
      <w:rPr>
        <w:rFonts w:eastAsia="Aptos"/>
        <w:b/>
        <w:bCs/>
        <w:sz w:val="22"/>
        <w:szCs w:val="22"/>
        <w:lang w:eastAsia="pl-PL"/>
      </w:rPr>
      <w:t>Questions &amp; Answers : Tender EU/</w:t>
    </w:r>
    <w:r>
      <w:rPr>
        <w:rFonts w:eastAsia="Aptos"/>
        <w:b/>
        <w:bCs/>
        <w:sz w:val="22"/>
        <w:szCs w:val="22"/>
        <w:lang w:eastAsia="pl-PL"/>
      </w:rPr>
      <w:t xml:space="preserve">40 </w:t>
    </w:r>
    <w:r w:rsidRPr="00C53F64">
      <w:rPr>
        <w:rFonts w:eastAsia="Aptos"/>
        <w:b/>
        <w:bCs/>
        <w:sz w:val="22"/>
        <w:szCs w:val="22"/>
        <w:lang w:eastAsia="pl-PL"/>
      </w:rPr>
      <w:t>/</w:t>
    </w:r>
    <w:r>
      <w:rPr>
        <w:rFonts w:eastAsia="Aptos"/>
        <w:b/>
        <w:bCs/>
        <w:sz w:val="22"/>
        <w:szCs w:val="22"/>
        <w:lang w:eastAsia="pl-PL"/>
      </w:rPr>
      <w:t>RTG Spr</w:t>
    </w:r>
    <w:r w:rsidRPr="00C53F64">
      <w:rPr>
        <w:rFonts w:eastAsia="Aptos"/>
        <w:b/>
        <w:bCs/>
        <w:sz w:val="22"/>
        <w:szCs w:val="22"/>
        <w:lang w:eastAsia="pl-PL"/>
      </w:rPr>
      <w:t xml:space="preserve">/ZZ/2025 </w:t>
    </w:r>
  </w:p>
  <w:p w14:paraId="34C047C1" w14:textId="75E851B3" w:rsidR="00C53F64" w:rsidRPr="00C53F64" w:rsidRDefault="00C53F64" w:rsidP="00C53F64">
    <w:pPr>
      <w:pStyle w:val="Akapitzlist"/>
      <w:numPr>
        <w:ilvl w:val="0"/>
        <w:numId w:val="2"/>
      </w:numPr>
      <w:rPr>
        <w:rFonts w:eastAsia="Aptos"/>
        <w:sz w:val="22"/>
        <w:szCs w:val="22"/>
        <w:lang w:eastAsia="pl-PL"/>
      </w:rPr>
    </w:pPr>
    <w:r w:rsidRPr="00C53F64">
      <w:rPr>
        <w:rFonts w:eastAsia="Aptos"/>
        <w:sz w:val="22"/>
        <w:szCs w:val="22"/>
        <w:lang w:eastAsia="pl-PL"/>
      </w:rPr>
      <w:t xml:space="preserve">Th </w:t>
    </w:r>
    <w:r>
      <w:rPr>
        <w:rFonts w:eastAsia="Aptos"/>
        <w:sz w:val="22"/>
        <w:szCs w:val="22"/>
        <w:lang w:eastAsia="pl-PL"/>
      </w:rPr>
      <w:t xml:space="preserve">November </w:t>
    </w:r>
    <w:r w:rsidRPr="00C53F64">
      <w:rPr>
        <w:rFonts w:eastAsia="Aptos"/>
        <w:sz w:val="22"/>
        <w:szCs w:val="22"/>
        <w:lang w:eastAsia="pl-PL"/>
      </w:rPr>
      <w:t xml:space="preserve">2025; </w:t>
    </w:r>
    <w:r w:rsidR="004D5533">
      <w:rPr>
        <w:rFonts w:eastAsia="Aptos"/>
        <w:sz w:val="22"/>
        <w:szCs w:val="22"/>
        <w:lang w:eastAsia="pl-PL"/>
      </w:rPr>
      <w:t>28 t November 2025</w:t>
    </w:r>
  </w:p>
  <w:p w14:paraId="4F8D7A2C" w14:textId="77777777" w:rsidR="00C53F64" w:rsidRPr="00C53F64" w:rsidRDefault="00C53F64" w:rsidP="00C53F64">
    <w:pPr>
      <w:rPr>
        <w:lang w:val="pl-PL"/>
      </w:rPr>
    </w:pPr>
  </w:p>
  <w:p w14:paraId="35A5A9C4" w14:textId="77777777" w:rsidR="00C53F64" w:rsidRDefault="00C53F6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71E80"/>
    <w:multiLevelType w:val="hybridMultilevel"/>
    <w:tmpl w:val="0B10C210"/>
    <w:lvl w:ilvl="0" w:tplc="7CA2C6B0">
      <w:numFmt w:val="bullet"/>
      <w:lvlText w:val="-"/>
      <w:lvlJc w:val="left"/>
      <w:pPr>
        <w:ind w:left="720" w:hanging="360"/>
      </w:pPr>
      <w:rPr>
        <w:rFonts w:ascii="Aptos" w:eastAsia="DengXian"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74D112F"/>
    <w:multiLevelType w:val="hybridMultilevel"/>
    <w:tmpl w:val="D6AE6962"/>
    <w:lvl w:ilvl="0" w:tplc="8DCA2A1C">
      <w:start w:val="26"/>
      <w:numFmt w:val="decimal"/>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2" w15:restartNumberingAfterBreak="0">
    <w:nsid w:val="4DAD184A"/>
    <w:multiLevelType w:val="hybridMultilevel"/>
    <w:tmpl w:val="AB3CADB8"/>
    <w:lvl w:ilvl="0" w:tplc="4D5E8AE2">
      <w:start w:val="27"/>
      <w:numFmt w:val="decimal"/>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num w:numId="1" w16cid:durableId="957642494">
    <w:abstractNumId w:val="1"/>
  </w:num>
  <w:num w:numId="2" w16cid:durableId="1218665675">
    <w:abstractNumId w:val="2"/>
  </w:num>
  <w:num w:numId="3" w16cid:durableId="73277518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D08"/>
    <w:rsid w:val="000077AE"/>
    <w:rsid w:val="00086E8D"/>
    <w:rsid w:val="001B1D9B"/>
    <w:rsid w:val="002567E0"/>
    <w:rsid w:val="002C4AE4"/>
    <w:rsid w:val="003E157E"/>
    <w:rsid w:val="004D5533"/>
    <w:rsid w:val="00501D52"/>
    <w:rsid w:val="00507FDB"/>
    <w:rsid w:val="005A3AFF"/>
    <w:rsid w:val="00682124"/>
    <w:rsid w:val="006D0514"/>
    <w:rsid w:val="00757E4C"/>
    <w:rsid w:val="00842D08"/>
    <w:rsid w:val="008455E8"/>
    <w:rsid w:val="008933AD"/>
    <w:rsid w:val="00992BCE"/>
    <w:rsid w:val="009C419B"/>
    <w:rsid w:val="00A324F8"/>
    <w:rsid w:val="00A5506A"/>
    <w:rsid w:val="00C53F64"/>
    <w:rsid w:val="00CC7257"/>
    <w:rsid w:val="00D773AD"/>
    <w:rsid w:val="00E8165D"/>
    <w:rsid w:val="00EE3AC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7221B"/>
  <w15:chartTrackingRefBased/>
  <w15:docId w15:val="{A81204FC-2C14-4E18-AF4F-BFD373D4C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42D08"/>
    <w:pPr>
      <w:spacing w:after="0" w:line="240" w:lineRule="auto"/>
    </w:pPr>
    <w:rPr>
      <w:rFonts w:ascii="Aptos" w:hAnsi="Aptos" w:cs="Aptos"/>
      <w:kern w:val="0"/>
      <w14:ligatures w14:val="none"/>
    </w:rPr>
  </w:style>
  <w:style w:type="paragraph" w:styleId="Nagwek1">
    <w:name w:val="heading 1"/>
    <w:basedOn w:val="Normalny"/>
    <w:next w:val="Normalny"/>
    <w:link w:val="Nagwek1Znak"/>
    <w:uiPriority w:val="9"/>
    <w:qFormat/>
    <w:rsid w:val="00842D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42D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42D0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42D0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42D0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42D0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42D0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42D0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42D0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42D0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42D0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42D0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42D0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42D0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42D0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42D0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42D0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42D08"/>
    <w:rPr>
      <w:rFonts w:eastAsiaTheme="majorEastAsia" w:cstheme="majorBidi"/>
      <w:color w:val="272727" w:themeColor="text1" w:themeTint="D8"/>
    </w:rPr>
  </w:style>
  <w:style w:type="paragraph" w:styleId="Tytu">
    <w:name w:val="Title"/>
    <w:basedOn w:val="Normalny"/>
    <w:next w:val="Normalny"/>
    <w:link w:val="TytuZnak"/>
    <w:uiPriority w:val="10"/>
    <w:qFormat/>
    <w:rsid w:val="00842D0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42D0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42D0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42D0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42D08"/>
    <w:pPr>
      <w:spacing w:before="160"/>
      <w:jc w:val="center"/>
    </w:pPr>
    <w:rPr>
      <w:i/>
      <w:iCs/>
      <w:color w:val="404040" w:themeColor="text1" w:themeTint="BF"/>
    </w:rPr>
  </w:style>
  <w:style w:type="character" w:customStyle="1" w:styleId="CytatZnak">
    <w:name w:val="Cytat Znak"/>
    <w:basedOn w:val="Domylnaczcionkaakapitu"/>
    <w:link w:val="Cytat"/>
    <w:uiPriority w:val="29"/>
    <w:rsid w:val="00842D08"/>
    <w:rPr>
      <w:i/>
      <w:iCs/>
      <w:color w:val="404040" w:themeColor="text1" w:themeTint="BF"/>
    </w:rPr>
  </w:style>
  <w:style w:type="paragraph" w:styleId="Akapitzlist">
    <w:name w:val="List Paragraph"/>
    <w:basedOn w:val="Normalny"/>
    <w:uiPriority w:val="34"/>
    <w:qFormat/>
    <w:rsid w:val="00842D08"/>
    <w:pPr>
      <w:ind w:left="720"/>
      <w:contextualSpacing/>
    </w:pPr>
  </w:style>
  <w:style w:type="character" w:styleId="Wyrnienieintensywne">
    <w:name w:val="Intense Emphasis"/>
    <w:basedOn w:val="Domylnaczcionkaakapitu"/>
    <w:uiPriority w:val="21"/>
    <w:qFormat/>
    <w:rsid w:val="00842D08"/>
    <w:rPr>
      <w:i/>
      <w:iCs/>
      <w:color w:val="0F4761" w:themeColor="accent1" w:themeShade="BF"/>
    </w:rPr>
  </w:style>
  <w:style w:type="paragraph" w:styleId="Cytatintensywny">
    <w:name w:val="Intense Quote"/>
    <w:basedOn w:val="Normalny"/>
    <w:next w:val="Normalny"/>
    <w:link w:val="CytatintensywnyZnak"/>
    <w:uiPriority w:val="30"/>
    <w:qFormat/>
    <w:rsid w:val="00842D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42D08"/>
    <w:rPr>
      <w:i/>
      <w:iCs/>
      <w:color w:val="0F4761" w:themeColor="accent1" w:themeShade="BF"/>
    </w:rPr>
  </w:style>
  <w:style w:type="character" w:styleId="Odwoanieintensywne">
    <w:name w:val="Intense Reference"/>
    <w:basedOn w:val="Domylnaczcionkaakapitu"/>
    <w:uiPriority w:val="32"/>
    <w:qFormat/>
    <w:rsid w:val="00842D08"/>
    <w:rPr>
      <w:b/>
      <w:bCs/>
      <w:smallCaps/>
      <w:color w:val="0F4761" w:themeColor="accent1" w:themeShade="BF"/>
      <w:spacing w:val="5"/>
    </w:rPr>
  </w:style>
  <w:style w:type="paragraph" w:styleId="Nagwek">
    <w:name w:val="header"/>
    <w:basedOn w:val="Normalny"/>
    <w:link w:val="NagwekZnak"/>
    <w:uiPriority w:val="99"/>
    <w:unhideWhenUsed/>
    <w:rsid w:val="00C53F64"/>
    <w:pPr>
      <w:tabs>
        <w:tab w:val="center" w:pos="4703"/>
        <w:tab w:val="right" w:pos="9406"/>
      </w:tabs>
    </w:pPr>
  </w:style>
  <w:style w:type="character" w:customStyle="1" w:styleId="NagwekZnak">
    <w:name w:val="Nagłówek Znak"/>
    <w:basedOn w:val="Domylnaczcionkaakapitu"/>
    <w:link w:val="Nagwek"/>
    <w:uiPriority w:val="99"/>
    <w:rsid w:val="00C53F64"/>
    <w:rPr>
      <w:rFonts w:ascii="Aptos" w:hAnsi="Aptos" w:cs="Aptos"/>
      <w:kern w:val="0"/>
      <w14:ligatures w14:val="none"/>
    </w:rPr>
  </w:style>
  <w:style w:type="paragraph" w:styleId="Stopka">
    <w:name w:val="footer"/>
    <w:basedOn w:val="Normalny"/>
    <w:link w:val="StopkaZnak"/>
    <w:uiPriority w:val="99"/>
    <w:unhideWhenUsed/>
    <w:rsid w:val="00C53F64"/>
    <w:pPr>
      <w:tabs>
        <w:tab w:val="center" w:pos="4703"/>
        <w:tab w:val="right" w:pos="9406"/>
      </w:tabs>
    </w:pPr>
  </w:style>
  <w:style w:type="character" w:customStyle="1" w:styleId="StopkaZnak">
    <w:name w:val="Stopka Znak"/>
    <w:basedOn w:val="Domylnaczcionkaakapitu"/>
    <w:link w:val="Stopka"/>
    <w:uiPriority w:val="99"/>
    <w:rsid w:val="00C53F64"/>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490</Words>
  <Characters>2798</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Filewicz</dc:creator>
  <cp:keywords/>
  <dc:description/>
  <cp:lastModifiedBy>Małgorzata Filewicz</cp:lastModifiedBy>
  <cp:revision>2</cp:revision>
  <dcterms:created xsi:type="dcterms:W3CDTF">2025-11-28T11:16:00Z</dcterms:created>
  <dcterms:modified xsi:type="dcterms:W3CDTF">2025-11-28T11:16:00Z</dcterms:modified>
</cp:coreProperties>
</file>