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18"/>
        <w:gridCol w:w="6873"/>
        <w:gridCol w:w="4259"/>
      </w:tblGrid>
      <w:tr w:rsidR="00681F69" w:rsidRPr="00FD729C" w14:paraId="183E772F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CDE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ABABAB"/>
              <w:left w:val="single" w:sz="4" w:space="0" w:color="auto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E51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4.1.2 Warunki płatności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9865" w14:textId="083AE051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Gwarancja zaliczki na drugą ratę nie jest akceptowalna. </w:t>
            </w:r>
            <w:r>
              <w:rPr>
                <w:color w:val="000000"/>
                <w:sz w:val="22"/>
                <w:szCs w:val="22"/>
                <w:lang w:val="pl-PL"/>
              </w:rPr>
              <w:t>Chwytnik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zostanie już zbudowany, przetransportowany i dostarczony.  Prośba o usunięcie punktu B 4.1.2 oraz punktu B 4.1.3</w:t>
            </w:r>
          </w:p>
          <w:p w14:paraId="601729E4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50999F72" w14:textId="77777777" w:rsidR="00681F69" w:rsidRDefault="00681F69" w:rsidP="00681F69">
            <w:pPr>
              <w:rPr>
                <w:color w:val="0C882A"/>
                <w:sz w:val="22"/>
                <w:szCs w:val="22"/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akceptuje: Nie akceptuje, ponieważ produkt zostanie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odebrany przez BCT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podczas ostatecznego protokołu akceptacji.</w:t>
            </w:r>
          </w:p>
          <w:p w14:paraId="49C5C59F" w14:textId="77777777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</w:p>
          <w:p w14:paraId="1CA171D9" w14:textId="77777777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</w:p>
          <w:p w14:paraId="38B0CD76" w14:textId="7DA25131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  <w:r w:rsidRPr="00FD729C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Koszty poniesione na wymagane </w:t>
            </w:r>
            <w:r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zabezpieczenia gwarancyjne </w:t>
            </w:r>
            <w:r w:rsidRPr="00FD729C">
              <w:rPr>
                <w:rFonts w:ascii="Roboto" w:hAnsi="Roboto"/>
                <w:color w:val="005BA1"/>
                <w:sz w:val="21"/>
                <w:szCs w:val="21"/>
                <w:shd w:val="clear" w:color="auto" w:fill="EBF6FF"/>
                <w:lang w:val="pl-PL"/>
              </w:rPr>
              <w:t xml:space="preserve"> oczywiście wpłyną na cenę jednostkową, dlatego prosimy o ponowne rozważenie usunięcia tych warunków, jeśli ryzyko z perspektywy BCT jest stosunkowo niskie.</w:t>
            </w:r>
            <w:r w:rsidRPr="00FD729C">
              <w:rPr>
                <w:rFonts w:ascii="Roboto" w:hAnsi="Roboto"/>
                <w:color w:val="005BA1"/>
                <w:sz w:val="21"/>
                <w:szCs w:val="21"/>
                <w:lang w:val="pl-PL"/>
              </w:rPr>
              <w:br/>
            </w:r>
            <w:r w:rsidRPr="00FD729C">
              <w:rPr>
                <w:rFonts w:ascii="Roboto" w:hAnsi="Roboto"/>
                <w:color w:val="005BA1"/>
                <w:sz w:val="21"/>
                <w:szCs w:val="21"/>
                <w:lang w:val="pl-PL"/>
              </w:rPr>
              <w:br/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BCT nie może usunąć tych punktów z Warunków Płatności; warunki płatności są powiązane z kamieniami milowymi w tym projekcie, a aż do ostatecznej daty podpisania protokołu przez obie strony 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.Do czasu podpisania protokołu 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wymagane są 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>gwarancj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e. Z drugiej strony koszt 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gwarancji </w:t>
            </w:r>
            <w:r w:rsidRPr="00FD729C">
              <w:rPr>
                <w:rFonts w:ascii="Roboto" w:hAnsi="Roboto"/>
                <w:color w:val="00B050"/>
                <w:sz w:val="21"/>
                <w:szCs w:val="21"/>
                <w:shd w:val="clear" w:color="auto" w:fill="EBF6FF"/>
                <w:lang w:val="pl-PL"/>
              </w:rPr>
              <w:t xml:space="preserve"> nie jest wysoki.</w:t>
            </w:r>
          </w:p>
          <w:p w14:paraId="79239F3C" w14:textId="77777777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</w:p>
          <w:p w14:paraId="3FD3F1DA" w14:textId="77777777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</w:p>
          <w:p w14:paraId="2037E5A0" w14:textId="77777777" w:rsidR="00FD729C" w:rsidRDefault="00FD729C" w:rsidP="00681F69">
            <w:pPr>
              <w:rPr>
                <w:color w:val="0C882A"/>
                <w:sz w:val="22"/>
                <w:szCs w:val="22"/>
                <w:lang w:val="pl-PL"/>
              </w:rPr>
            </w:pPr>
          </w:p>
          <w:p w14:paraId="73AEE971" w14:textId="47860180" w:rsidR="00FD729C" w:rsidRPr="00681F69" w:rsidRDefault="00FD729C" w:rsidP="00681F69">
            <w:pPr>
              <w:rPr>
                <w:lang w:val="pl-PL"/>
              </w:rPr>
            </w:pPr>
          </w:p>
        </w:tc>
      </w:tr>
      <w:tr w:rsidR="00681F69" w:rsidRPr="00FD729C" w14:paraId="54FC60D9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8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5334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6. Odpowiedzialność za opóźnienia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C416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Prośba o obniżenie maksymalnego LD do 5%</w:t>
            </w:r>
          </w:p>
          <w:p w14:paraId="513763CC" w14:textId="2493E74E" w:rsidR="00681F69" w:rsidRPr="00681F69" w:rsidRDefault="00681F69" w:rsidP="00681F69">
            <w:pPr>
              <w:rPr>
                <w:lang w:val="pl-PL"/>
              </w:rPr>
            </w:pP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BCT nie akceptuje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 ponieważ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wszyscy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oferenci w przetargach UE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>podlegają tym samym warunkom.</w:t>
            </w:r>
          </w:p>
        </w:tc>
      </w:tr>
      <w:tr w:rsidR="00681F69" w:rsidRPr="00FD729C" w14:paraId="22246DE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991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F162" w14:textId="77777777" w:rsidR="00C32F9F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Przeniesienie ryzyka </w:t>
            </w:r>
            <w:r w:rsidR="00C32F9F">
              <w:rPr>
                <w:color w:val="000000"/>
                <w:sz w:val="22"/>
                <w:szCs w:val="22"/>
              </w:rPr>
              <w:t xml:space="preserve">    </w:t>
            </w:r>
          </w:p>
          <w:p w14:paraId="67A50FBA" w14:textId="4FC4AAC4" w:rsidR="00681F69" w:rsidRDefault="00C32F9F" w:rsidP="00681F69">
            <w:r>
              <w:rPr>
                <w:color w:val="000000"/>
                <w:sz w:val="22"/>
                <w:szCs w:val="22"/>
              </w:rPr>
              <w:t xml:space="preserve">     </w:t>
            </w:r>
            <w:r w:rsidR="00681F69">
              <w:rPr>
                <w:color w:val="000000"/>
                <w:sz w:val="22"/>
                <w:szCs w:val="22"/>
              </w:rPr>
              <w:t>i własności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3CBE" w14:textId="77777777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Ryzyko utraty lub uszkodzenia powinno zostać przeniesione na Kupującego w momencie dostawy, ponieważ produkt nie jest już objęty naszą ochroną i kontrolą.</w:t>
            </w:r>
          </w:p>
          <w:p w14:paraId="747C2D9F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5AEF1C7A" w14:textId="1CAFC6A2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>BCT nie akceptuje: BCT posiada zabezpieczeni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a na terenie terminala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więc ryzyko kradzieży lub uszkodzenia jest bardzo niskie,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dopiero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ostateczny protokół odbioru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podpisany przez Strony , który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odbywa się w ciągu jednego dnia roboczego w obecności </w:t>
            </w:r>
            <w:r>
              <w:rPr>
                <w:color w:val="0C882A"/>
                <w:sz w:val="22"/>
                <w:szCs w:val="22"/>
                <w:lang w:val="pl-PL"/>
              </w:rPr>
              <w:t>Dostawcy jest przeniesieniem własności na BCT.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Dopiero od tego momentu BCT może używać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chwytnika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 codziennych operacji.</w:t>
            </w:r>
          </w:p>
        </w:tc>
      </w:tr>
      <w:tr w:rsidR="00681F69" w14:paraId="228B3BB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B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91B5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15. OGRANICZENIE ODPOWIEDZIALNOŚCI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A06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wprowadzenie następujących zmian:</w:t>
            </w:r>
          </w:p>
          <w:p w14:paraId="476F51A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Z wyjątkiem przypadków wyraźnie określonych w niniejszej umowie lub wymaganych przez prawo obowiązkowe, odpowiedzialność stron za rzeczywiste bezpośrednie straty poniesione przez drugą stronę na mocy niniejszej umowy jest ograniczona do 100% ceny zakupu, maksymalnie do 500 000 EUR. W żadnym wypadku strony nie ponoszą odpowiedzialności za szkody pośrednie ani utracone zyski drugiej strony.</w:t>
            </w:r>
          </w:p>
          <w:p w14:paraId="149B3D4C" w14:textId="77777777" w:rsidR="00681F69" w:rsidRDefault="00681F69" w:rsidP="00681F69"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akceptuje  </w:t>
            </w:r>
          </w:p>
        </w:tc>
      </w:tr>
      <w:tr w:rsidR="00681F69" w:rsidRPr="00FD729C" w14:paraId="37960BAC" w14:textId="77777777" w:rsidTr="00F415EC">
        <w:trPr>
          <w:gridAfter w:val="1"/>
          <w:wAfter w:w="4555" w:type="dxa"/>
          <w:trHeight w:val="1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52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1E7E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18. Siła wyższa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E8044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dodanie następujących wydarzeń:</w:t>
            </w:r>
          </w:p>
          <w:p w14:paraId="781BAF41" w14:textId="548F5ABF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Brak dostępności płaskich </w:t>
            </w:r>
            <w:r>
              <w:rPr>
                <w:color w:val="000000"/>
                <w:sz w:val="22"/>
                <w:szCs w:val="22"/>
                <w:lang w:val="pl-PL"/>
              </w:rPr>
              <w:t>naczep,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odmowa załadunku produktów przez kapitana, rozładunek produktów na trasie, wolne pływanie, zła pogoda, warunki, opóźnienia w odprawie celnej itd.</w:t>
            </w:r>
          </w:p>
          <w:p w14:paraId="591F48CC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2038A170" w14:textId="5C599EE6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lastRenderedPageBreak/>
              <w:t xml:space="preserve">BCT nie </w:t>
            </w:r>
            <w:r>
              <w:rPr>
                <w:color w:val="0C882A"/>
                <w:sz w:val="22"/>
                <w:szCs w:val="22"/>
                <w:lang w:val="pl-PL"/>
              </w:rPr>
              <w:t>akceptuje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>. Umowa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jest na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DAP Incoterm 2020, więc całe ryzyko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dostawy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pozostanie </w:t>
            </w:r>
            <w:r>
              <w:rPr>
                <w:color w:val="0C882A"/>
                <w:sz w:val="22"/>
                <w:szCs w:val="22"/>
                <w:lang w:val="pl-PL"/>
              </w:rPr>
              <w:t>w gestii Dostawcy.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>, który jest zobowiązany do ubezpieczenia towarów w transporcie przed "wszelkimi ryzykami".</w:t>
            </w:r>
          </w:p>
        </w:tc>
      </w:tr>
      <w:tr w:rsidR="00681F69" w14:paraId="1FC1E380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1FD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5BD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24. Ubezpieczenia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34B8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24.2 Prosimy o wprowadzenie następujących zmian:</w:t>
            </w:r>
          </w:p>
          <w:p w14:paraId="68746C2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Całkowita odpowiedzialność sprzedającego za wszystkie przywrócenia w trakcie okresu obowiązywania polisy nie przekracza 100% pierwotnej sumy ubezpieczenia.</w:t>
            </w:r>
          </w:p>
          <w:p w14:paraId="556506C7" w14:textId="77777777" w:rsidR="00681F69" w:rsidRDefault="00681F69" w:rsidP="00681F69"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akceptuje  </w:t>
            </w:r>
          </w:p>
        </w:tc>
      </w:tr>
      <w:tr w:rsidR="00681F69" w:rsidRPr="00FD729C" w14:paraId="7E10AE51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BD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39FE7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Załącznik 1 Format gwarancji zaliczki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37C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Szablon gwarancji płatniczej zostanie zaakceptowany przez Oferenta, jednak pod warunkiem, że obowiązuje jeden z poniższych identyfikatorów BIC/SWIFT:</w:t>
            </w:r>
          </w:p>
          <w:p w14:paraId="4E29FB52" w14:textId="0FC2AA74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akceptuje: Bank HSCB Continental Europe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jako przykład akceptowalnego banku.</w:t>
            </w:r>
          </w:p>
          <w:p w14:paraId="3B9B5D91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 </w:t>
            </w:r>
          </w:p>
          <w:p w14:paraId="52616947" w14:textId="77777777" w:rsidR="00681F69" w:rsidRPr="00681F69" w:rsidRDefault="00681F69" w:rsidP="00681F69">
            <w:pPr>
              <w:rPr>
                <w:lang w:val="pl-PL"/>
              </w:rPr>
            </w:pPr>
          </w:p>
        </w:tc>
      </w:tr>
      <w:tr w:rsidR="00681F69" w:rsidRPr="00FD729C" w14:paraId="1B36E2DE" w14:textId="77777777" w:rsidTr="00A30BF9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C5E59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CDE" w14:textId="376B30A8" w:rsidR="00207544" w:rsidRPr="00207544" w:rsidRDefault="00207544" w:rsidP="00681F69">
            <w:pPr>
              <w:spacing w:after="160" w:line="278" w:lineRule="auto"/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>
              <w:rPr>
                <w:rStyle w:val="rynqvb"/>
                <w:rFonts w:ascii="Roboto" w:hAnsi="Roboto"/>
                <w:color w:val="3C4043"/>
                <w:sz w:val="20"/>
                <w:szCs w:val="20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>Prosimy o potwierdzenie, że chwytnik RMG powinien być w konfiguracji 2 x 20 stóp (długi podwójny).</w:t>
            </w: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Specyfikacja techniczna nie wspomina o wymogu dotyczącym długiego podwójnego. </w:t>
            </w:r>
          </w:p>
          <w:p w14:paraId="719B9822" w14:textId="1F5BF7DE" w:rsidR="00681F69" w:rsidRPr="00207544" w:rsidRDefault="00207544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0"/>
                <w:szCs w:val="20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00B050"/>
                <w:sz w:val="22"/>
                <w:szCs w:val="22"/>
                <w:shd w:val="clear" w:color="auto" w:fill="F5F5F5"/>
                <w:lang w:val="pl-PL"/>
              </w:rPr>
              <w:t>BCT: Potwierdza, wymagana jest konfiguracja 2 x 20 stóp (długi podwójny).</w:t>
            </w:r>
          </w:p>
        </w:tc>
        <w:tc>
          <w:tcPr>
            <w:tcW w:w="4555" w:type="dxa"/>
            <w:vAlign w:val="center"/>
          </w:tcPr>
          <w:p w14:paraId="7928544C" w14:textId="77777777" w:rsidR="00681F69" w:rsidRPr="00681F69" w:rsidRDefault="00681F69" w:rsidP="00681F69">
            <w:pPr>
              <w:spacing w:after="160" w:line="278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pl-PL"/>
              </w:rPr>
            </w:pPr>
          </w:p>
        </w:tc>
      </w:tr>
      <w:tr w:rsidR="00681F69" w:rsidRPr="00207544" w14:paraId="1D10E81D" w14:textId="77777777" w:rsidTr="00A30BF9">
        <w:tblPrEx>
          <w:tblCellMar>
            <w:left w:w="108" w:type="dxa"/>
            <w:right w:w="108" w:type="dxa"/>
          </w:tblCellMar>
        </w:tblPrEx>
        <w:trPr>
          <w:gridAfter w:val="1"/>
          <w:wAfter w:w="4555" w:type="dxa"/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30D9" w14:textId="77777777" w:rsid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  <w:p w14:paraId="5320B246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FD5" w14:textId="77777777" w:rsidR="00207544" w:rsidRPr="00207544" w:rsidRDefault="00207544" w:rsidP="00681F69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Prosimy o potwierdzenie, że jednostka hydrauliczna (HPU)chwytnika powinna również dostarczać zasilanie dla istniejącej funkcji skosu głowicy za pomocą jednego zestawu połączeń A+B. </w:t>
            </w:r>
          </w:p>
          <w:p w14:paraId="1F41095D" w14:textId="68021F6F" w:rsidR="00681F69" w:rsidRPr="00207544" w:rsidRDefault="00207544" w:rsidP="00681F69">
            <w:pPr>
              <w:rPr>
                <w:rFonts w:asciiTheme="minorHAnsi" w:eastAsia="Times New Roman" w:hAnsiTheme="minorHAns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Fonts w:asciiTheme="minorHAnsi" w:hAnsiTheme="minorHAnsi"/>
                <w:color w:val="00B050"/>
                <w:sz w:val="22"/>
                <w:szCs w:val="22"/>
                <w:shd w:val="clear" w:color="auto" w:fill="D2E3FC"/>
                <w:lang w:val="pl-PL"/>
              </w:rPr>
              <w:t>BCT: Potwierdza</w:t>
            </w:r>
          </w:p>
        </w:tc>
      </w:tr>
    </w:tbl>
    <w:p w14:paraId="1534297E" w14:textId="77777777" w:rsidR="00207544" w:rsidRPr="00207544" w:rsidRDefault="00681F69" w:rsidP="00681F69">
      <w:pPr>
        <w:rPr>
          <w:lang w:val="pl-PL"/>
        </w:rPr>
      </w:pPr>
      <w:r w:rsidRPr="00207544">
        <w:rPr>
          <w:lang w:val="pl-PL"/>
        </w:rPr>
        <w:t xml:space="preserve"> </w:t>
      </w:r>
    </w:p>
    <w:tbl>
      <w:tblPr>
        <w:tblpPr w:leftFromText="180" w:rightFromText="180" w:vertAnchor="text" w:tblpY="1"/>
        <w:tblOverlap w:val="never"/>
        <w:tblW w:w="13990" w:type="dxa"/>
        <w:tblLook w:val="04A0" w:firstRow="1" w:lastRow="0" w:firstColumn="1" w:lastColumn="0" w:noHBand="0" w:noVBand="1"/>
      </w:tblPr>
      <w:tblGrid>
        <w:gridCol w:w="113"/>
        <w:gridCol w:w="440"/>
        <w:gridCol w:w="13437"/>
      </w:tblGrid>
      <w:tr w:rsidR="00207544" w:rsidRPr="00FD729C" w14:paraId="67DB661C" w14:textId="77777777" w:rsidTr="00FD729C">
        <w:trPr>
          <w:gridBefore w:val="1"/>
          <w:wBefore w:w="113" w:type="dxa"/>
          <w:trHeight w:val="94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711D" w14:textId="792D6C86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B8F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 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Prosimy o potwierdzenie, że Dostawca musi uwzględnić dostawę dwóch (2) </w:t>
            </w:r>
          </w:p>
          <w:p w14:paraId="251DD2BF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>nowych modułów bramy, wstępnie zaprogramowanych, do użycia w dźwigu.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</w:p>
          <w:p w14:paraId="7323CCB2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>Zamawiający będzie odpowiedzialny za wdrożenie i testowanie.</w:t>
            </w:r>
          </w:p>
          <w:p w14:paraId="750F5276" w14:textId="042AA5B5" w:rsidR="00207544" w:rsidRPr="00207544" w:rsidRDefault="00207544" w:rsidP="00207544">
            <w:pPr>
              <w:spacing w:after="160" w:line="278" w:lineRule="auto"/>
              <w:rPr>
                <w:rFonts w:ascii="Calibri" w:hAnsi="Calibri" w:cs="Calibri"/>
                <w:color w:val="00B050"/>
                <w:sz w:val="20"/>
                <w:szCs w:val="20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color w:val="00B050"/>
                <w:sz w:val="22"/>
                <w:szCs w:val="22"/>
                <w:shd w:val="clear" w:color="auto" w:fill="F5F5F5"/>
                <w:lang w:val="pl-PL"/>
              </w:rPr>
              <w:t>BCT: Zamawiający może być odpowiedzialny wyłącznie za testowanie.</w:t>
            </w:r>
          </w:p>
        </w:tc>
      </w:tr>
      <w:tr w:rsidR="00207544" w:rsidRPr="00207544" w14:paraId="0D1C2C72" w14:textId="77777777" w:rsidTr="00FD729C">
        <w:trPr>
          <w:gridBefore w:val="1"/>
          <w:wBefore w:w="113" w:type="dxa"/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93A14" w14:textId="097B1107" w:rsidR="00207544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bookmarkStart w:id="0" w:name="_Hlk215233327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  <w:p w14:paraId="1C65FF6A" w14:textId="77777777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A1E" w14:textId="77777777" w:rsidR="00207544" w:rsidRPr="00207544" w:rsidRDefault="00207544" w:rsidP="00207544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12 Prosimy o potwierdzenie, czy funkcja podwójnego przesuwu, przesuwu bocznego i pochylenia o długości 2 x 20 stóp jest używana jednocześnie podczas pracy (informacje</w:t>
            </w:r>
          </w:p>
          <w:p w14:paraId="69083B9D" w14:textId="77777777" w:rsidR="00207544" w:rsidRPr="00207544" w:rsidRDefault="00207544" w:rsidP="00207544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te służą do określenia wymaganej wydajności hydraulicznej) </w:t>
            </w:r>
          </w:p>
          <w:p w14:paraId="10043970" w14:textId="0D82ABDF" w:rsidR="00207544" w:rsidRPr="00207544" w:rsidRDefault="00207544" w:rsidP="00207544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Fonts w:asciiTheme="minorHAnsi" w:hAnsiTheme="minorHAnsi"/>
                <w:color w:val="00B050"/>
                <w:sz w:val="22"/>
                <w:szCs w:val="22"/>
                <w:shd w:val="clear" w:color="auto" w:fill="D2E3FC"/>
                <w:lang w:val="pl-PL"/>
              </w:rPr>
              <w:t>BCT: Potwierdza</w:t>
            </w:r>
          </w:p>
        </w:tc>
      </w:tr>
      <w:tr w:rsidR="00207544" w:rsidRPr="00207544" w14:paraId="4917E0F9" w14:textId="77777777" w:rsidTr="00FD729C">
        <w:trPr>
          <w:gridBefore w:val="1"/>
          <w:wBefore w:w="113" w:type="dxa"/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B2696" w14:textId="101FD4A4" w:rsidR="00207544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  <w:p w14:paraId="29E40290" w14:textId="77777777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49A" w14:textId="77777777" w:rsidR="00207544" w:rsidRPr="00207544" w:rsidRDefault="00207544" w:rsidP="00207544">
            <w:pPr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Prosimy o potwierdzenie wymaganych funkcji ogrzewania, które mają </w:t>
            </w:r>
          </w:p>
          <w:p w14:paraId="5A03B7E4" w14:textId="77777777" w:rsidR="00207544" w:rsidRPr="00207544" w:rsidRDefault="00207544" w:rsidP="00207544">
            <w:pPr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być uwzględnione w układach hydraulicznych i elektrycznych.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</w:p>
          <w:p w14:paraId="2B431F63" w14:textId="5BB28B34" w:rsidR="00207544" w:rsidRPr="00207544" w:rsidRDefault="00207544" w:rsidP="00207544">
            <w:pPr>
              <w:rPr>
                <w:rFonts w:asciiTheme="minorHAnsi" w:eastAsia="Times New Roman" w:hAnsiTheme="minorHAns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00B050"/>
                <w:sz w:val="22"/>
                <w:szCs w:val="22"/>
                <w:shd w:val="clear" w:color="auto" w:fill="F5F5F5"/>
                <w:lang w:val="pl-PL"/>
              </w:rPr>
              <w:t>BCT: Potwierdza</w:t>
            </w:r>
          </w:p>
        </w:tc>
      </w:tr>
      <w:bookmarkEnd w:id="0"/>
      <w:tr w:rsidR="00FD729C" w:rsidRPr="00207544" w14:paraId="772DC33A" w14:textId="77777777" w:rsidTr="00FD729C">
        <w:trPr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52BB5" w14:textId="565A4128" w:rsidR="00FD729C" w:rsidRDefault="00FD729C" w:rsidP="00AB1D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  <w:p w14:paraId="753A6484" w14:textId="77777777" w:rsidR="00FD729C" w:rsidRPr="00501D52" w:rsidRDefault="00FD729C" w:rsidP="00AB1D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331" w14:textId="77777777" w:rsidR="00FD729C" w:rsidRDefault="00FD729C" w:rsidP="00AB1DC4">
            <w:pPr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</w:pPr>
            <w: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</w:t>
            </w: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 xml:space="preserve"> </w:t>
            </w: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>Pros</w:t>
            </w:r>
            <w:r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 xml:space="preserve">imy o </w:t>
            </w: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 xml:space="preserve"> potwierdz</w:t>
            </w:r>
            <w:r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>enie</w:t>
            </w: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 xml:space="preserve">, czy podczas pracy jednocześnie używane są funkcje </w:t>
            </w:r>
          </w:p>
          <w:p w14:paraId="466D1438" w14:textId="77777777" w:rsidR="00FD729C" w:rsidRDefault="00FD729C" w:rsidP="00AB1DC4">
            <w:pPr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</w:pP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>podwójnego przesunięcia 2x20 stóp, przesunięcia bocznego i skośnego</w:t>
            </w:r>
          </w:p>
          <w:p w14:paraId="76ADC551" w14:textId="4153C9AF" w:rsidR="00FD729C" w:rsidRDefault="00FD729C" w:rsidP="00AB1DC4">
            <w:pPr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</w:pPr>
            <w:r w:rsidRPr="00FD729C">
              <w:rPr>
                <w:rFonts w:ascii="Roboto" w:hAnsi="Roboto"/>
                <w:color w:val="005BA1"/>
                <w:sz w:val="27"/>
                <w:szCs w:val="27"/>
                <w:shd w:val="clear" w:color="auto" w:fill="EBF6FF"/>
                <w:lang w:val="pl-PL"/>
              </w:rPr>
              <w:t xml:space="preserve"> (informacja potrzebna do określenia wymaganej wydajności hydraulicznej) </w:t>
            </w:r>
          </w:p>
          <w:p w14:paraId="58A61984" w14:textId="2E11A9D9" w:rsidR="00FD729C" w:rsidRPr="00FD729C" w:rsidRDefault="00FD729C" w:rsidP="00AB1DC4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lang w:val="pl-PL"/>
              </w:rPr>
            </w:pPr>
            <w:r w:rsidRPr="00FD729C">
              <w:rPr>
                <w:rFonts w:ascii="Roboto" w:hAnsi="Roboto"/>
                <w:color w:val="00B050"/>
                <w:sz w:val="27"/>
                <w:szCs w:val="27"/>
                <w:shd w:val="clear" w:color="auto" w:fill="EBF6FF"/>
                <w:lang w:val="pl-PL"/>
              </w:rPr>
              <w:t>BCT: Potwierdza</w:t>
            </w:r>
          </w:p>
        </w:tc>
      </w:tr>
      <w:tr w:rsidR="00FD729C" w:rsidRPr="00207544" w14:paraId="022CE403" w14:textId="77777777" w:rsidTr="00FD729C">
        <w:trPr>
          <w:trHeight w:val="450"/>
        </w:trPr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85F3" w14:textId="1C07C3E7" w:rsidR="00FD729C" w:rsidRPr="00FD729C" w:rsidRDefault="00FD729C" w:rsidP="00AB1D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FD729C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02CA9B1D" w14:textId="77777777" w:rsidR="00FD729C" w:rsidRPr="00FD729C" w:rsidRDefault="00FD729C" w:rsidP="00AB1D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BC6A" w14:textId="3ED9B467" w:rsidR="00FD729C" w:rsidRPr="00207544" w:rsidRDefault="00FD729C" w:rsidP="00AB1DC4">
            <w:pPr>
              <w:rPr>
                <w:rFonts w:asciiTheme="minorHAnsi" w:eastAsia="Times New Roman" w:hAnsiTheme="minorHAnsi" w:cs="Calibri"/>
                <w:color w:val="4EA72E" w:themeColor="accent6"/>
                <w:sz w:val="22"/>
                <w:szCs w:val="22"/>
                <w:lang w:val="pl-PL"/>
              </w:rPr>
            </w:pPr>
            <w:r w:rsidRPr="00FD729C">
              <w:rPr>
                <w:rStyle w:val="rynqvb"/>
                <w:color w:val="3C4043"/>
                <w:shd w:val="clear" w:color="auto" w:fill="D2E3FC"/>
                <w:lang w:val="pl-PL"/>
              </w:rPr>
              <w:t xml:space="preserve"> </w:t>
            </w:r>
          </w:p>
        </w:tc>
      </w:tr>
    </w:tbl>
    <w:p w14:paraId="2CA56446" w14:textId="259A55A3" w:rsidR="00681F69" w:rsidRPr="00207544" w:rsidRDefault="00681F69" w:rsidP="00681F69">
      <w:pPr>
        <w:rPr>
          <w:lang w:val="pl-PL"/>
        </w:rPr>
      </w:pPr>
      <w:r w:rsidRPr="00207544">
        <w:rPr>
          <w:lang w:val="pl-PL"/>
        </w:rPr>
        <w:lastRenderedPageBreak/>
        <w:br w:type="textWrapping" w:clear="all"/>
      </w:r>
      <w:r w:rsidR="00207544">
        <w:rPr>
          <w:rStyle w:val="rynqvb"/>
          <w:rFonts w:ascii="Roboto" w:hAnsi="Roboto"/>
          <w:color w:val="3C4043"/>
          <w:sz w:val="27"/>
          <w:szCs w:val="27"/>
          <w:shd w:val="clear" w:color="auto" w:fill="D2E3FC"/>
          <w:lang w:val="pl-PL"/>
        </w:rPr>
        <w:t xml:space="preserve"> </w:t>
      </w:r>
    </w:p>
    <w:p w14:paraId="5F6C78DD" w14:textId="7B41C15E" w:rsidR="00A324F8" w:rsidRPr="00207544" w:rsidRDefault="00A324F8">
      <w:pPr>
        <w:rPr>
          <w:lang w:val="pl-PL"/>
        </w:rPr>
      </w:pPr>
    </w:p>
    <w:sectPr w:rsidR="00A324F8" w:rsidRPr="00207544" w:rsidSect="0050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DE169" w14:textId="77777777" w:rsidR="00D4649D" w:rsidRDefault="00D4649D" w:rsidP="00C53F64">
      <w:r>
        <w:separator/>
      </w:r>
    </w:p>
  </w:endnote>
  <w:endnote w:type="continuationSeparator" w:id="0">
    <w:p w14:paraId="4ECE49B3" w14:textId="77777777" w:rsidR="00D4649D" w:rsidRDefault="00D4649D" w:rsidP="00C5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B472" w14:textId="77777777" w:rsidR="00681F69" w:rsidRDefault="00681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89A1" w14:textId="77777777" w:rsidR="00681F69" w:rsidRDefault="00681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0252" w14:textId="77777777" w:rsidR="00681F69" w:rsidRDefault="00681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4C37" w14:textId="77777777" w:rsidR="00D4649D" w:rsidRDefault="00D4649D" w:rsidP="00C53F64">
      <w:r>
        <w:separator/>
      </w:r>
    </w:p>
  </w:footnote>
  <w:footnote w:type="continuationSeparator" w:id="0">
    <w:p w14:paraId="7EB65825" w14:textId="77777777" w:rsidR="00D4649D" w:rsidRDefault="00D4649D" w:rsidP="00C5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23D" w14:textId="77777777" w:rsidR="00681F69" w:rsidRDefault="00681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ACEA" w14:textId="02087E41" w:rsidR="00C53F64" w:rsidRPr="00681F69" w:rsidRDefault="00681F69" w:rsidP="00C53F64">
    <w:pPr>
      <w:rPr>
        <w:rFonts w:eastAsia="Aptos"/>
        <w:b/>
        <w:bCs/>
        <w:sz w:val="22"/>
        <w:szCs w:val="22"/>
        <w:lang w:val="pl-PL" w:eastAsia="pl-PL"/>
      </w:rPr>
    </w:pPr>
    <w:r w:rsidRPr="00681F69">
      <w:rPr>
        <w:rFonts w:eastAsia="Aptos"/>
        <w:b/>
        <w:bCs/>
        <w:sz w:val="22"/>
        <w:szCs w:val="22"/>
        <w:lang w:val="pl-PL" w:eastAsia="pl-PL"/>
      </w:rPr>
      <w:t xml:space="preserve">Pytania I Odpowiedzi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: </w:t>
    </w:r>
    <w:r>
      <w:rPr>
        <w:rFonts w:eastAsia="Aptos"/>
        <w:b/>
        <w:bCs/>
        <w:sz w:val="22"/>
        <w:szCs w:val="22"/>
        <w:lang w:val="pl-PL" w:eastAsia="pl-PL"/>
      </w:rPr>
      <w:t xml:space="preserve">Przetarg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EU/4</w:t>
    </w:r>
    <w:r w:rsidR="00A30BF9">
      <w:rPr>
        <w:rFonts w:eastAsia="Aptos"/>
        <w:b/>
        <w:bCs/>
        <w:sz w:val="22"/>
        <w:szCs w:val="22"/>
        <w:lang w:val="pl-PL" w:eastAsia="pl-PL"/>
      </w:rPr>
      <w:t>1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/R</w:t>
    </w:r>
    <w:r w:rsidR="00A30BF9">
      <w:rPr>
        <w:rFonts w:eastAsia="Aptos"/>
        <w:b/>
        <w:bCs/>
        <w:sz w:val="22"/>
        <w:szCs w:val="22"/>
        <w:lang w:val="pl-PL" w:eastAsia="pl-PL"/>
      </w:rPr>
      <w:t>MG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Spr/ZZ/2025 </w:t>
    </w:r>
  </w:p>
  <w:p w14:paraId="34C047C1" w14:textId="403F34E7" w:rsidR="00C53F64" w:rsidRPr="00C53F64" w:rsidRDefault="00681F69" w:rsidP="00C53F64">
    <w:pPr>
      <w:pStyle w:val="Akapitzlist"/>
      <w:numPr>
        <w:ilvl w:val="0"/>
        <w:numId w:val="2"/>
      </w:numPr>
      <w:rPr>
        <w:rFonts w:eastAsia="Aptos"/>
        <w:sz w:val="22"/>
        <w:szCs w:val="22"/>
        <w:lang w:eastAsia="pl-PL"/>
      </w:rPr>
    </w:pPr>
    <w:r>
      <w:rPr>
        <w:rFonts w:eastAsia="Aptos"/>
        <w:sz w:val="22"/>
        <w:szCs w:val="22"/>
        <w:lang w:eastAsia="pl-PL"/>
      </w:rPr>
      <w:t xml:space="preserve">Listopad </w:t>
    </w:r>
    <w:r w:rsidR="00C53F64">
      <w:rPr>
        <w:rFonts w:eastAsia="Aptos"/>
        <w:sz w:val="22"/>
        <w:szCs w:val="22"/>
        <w:lang w:eastAsia="pl-PL"/>
      </w:rPr>
      <w:t xml:space="preserve"> </w:t>
    </w:r>
    <w:r w:rsidR="00C53F64" w:rsidRPr="00C53F64">
      <w:rPr>
        <w:rFonts w:eastAsia="Aptos"/>
        <w:sz w:val="22"/>
        <w:szCs w:val="22"/>
        <w:lang w:eastAsia="pl-PL"/>
      </w:rPr>
      <w:t xml:space="preserve">2025; </w:t>
    </w:r>
    <w:r w:rsidR="004D3299">
      <w:rPr>
        <w:rFonts w:eastAsia="Aptos"/>
        <w:sz w:val="22"/>
        <w:szCs w:val="22"/>
        <w:lang w:eastAsia="pl-PL"/>
      </w:rPr>
      <w:t>28 listopad 2025</w:t>
    </w:r>
  </w:p>
  <w:p w14:paraId="4F8D7A2C" w14:textId="77777777" w:rsidR="00C53F64" w:rsidRPr="00C53F64" w:rsidRDefault="00C53F64" w:rsidP="00C53F64">
    <w:pPr>
      <w:rPr>
        <w:lang w:val="pl-PL"/>
      </w:rPr>
    </w:pPr>
  </w:p>
  <w:p w14:paraId="35A5A9C4" w14:textId="77777777" w:rsidR="00C53F64" w:rsidRDefault="00C53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435F" w14:textId="77777777" w:rsidR="00681F69" w:rsidRDefault="00681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12F"/>
    <w:multiLevelType w:val="hybridMultilevel"/>
    <w:tmpl w:val="D6AE6962"/>
    <w:lvl w:ilvl="0" w:tplc="8DCA2A1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DAD184A"/>
    <w:multiLevelType w:val="hybridMultilevel"/>
    <w:tmpl w:val="AB3CADB8"/>
    <w:lvl w:ilvl="0" w:tplc="4D5E8AE2">
      <w:start w:val="27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957642494">
    <w:abstractNumId w:val="0"/>
  </w:num>
  <w:num w:numId="2" w16cid:durableId="1218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08"/>
    <w:rsid w:val="00086E8D"/>
    <w:rsid w:val="001B1D9B"/>
    <w:rsid w:val="00207544"/>
    <w:rsid w:val="002567E0"/>
    <w:rsid w:val="002C4AE4"/>
    <w:rsid w:val="003830BE"/>
    <w:rsid w:val="003E157E"/>
    <w:rsid w:val="004D3299"/>
    <w:rsid w:val="00501D52"/>
    <w:rsid w:val="00507FDB"/>
    <w:rsid w:val="005A3AFF"/>
    <w:rsid w:val="00633658"/>
    <w:rsid w:val="00681F69"/>
    <w:rsid w:val="00682124"/>
    <w:rsid w:val="006D0514"/>
    <w:rsid w:val="00757E4C"/>
    <w:rsid w:val="007C168C"/>
    <w:rsid w:val="00842D08"/>
    <w:rsid w:val="008933AD"/>
    <w:rsid w:val="00992BCE"/>
    <w:rsid w:val="009C419B"/>
    <w:rsid w:val="00A30BF9"/>
    <w:rsid w:val="00A324F8"/>
    <w:rsid w:val="00A5506A"/>
    <w:rsid w:val="00B14EC5"/>
    <w:rsid w:val="00C32F9F"/>
    <w:rsid w:val="00C53F64"/>
    <w:rsid w:val="00CB327E"/>
    <w:rsid w:val="00CC7257"/>
    <w:rsid w:val="00D4649D"/>
    <w:rsid w:val="00D773AD"/>
    <w:rsid w:val="00E8165D"/>
    <w:rsid w:val="00ED1A40"/>
    <w:rsid w:val="00EE3ACF"/>
    <w:rsid w:val="00FD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221B"/>
  <w15:chartTrackingRefBased/>
  <w15:docId w15:val="{A81204FC-2C14-4E18-AF4F-BFD373D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0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D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F64"/>
    <w:rPr>
      <w:rFonts w:ascii="Aptos" w:hAnsi="Aptos" w:cs="Aptos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F64"/>
    <w:rPr>
      <w:rFonts w:ascii="Aptos" w:hAnsi="Aptos" w:cs="Aptos"/>
      <w:kern w:val="0"/>
      <w14:ligatures w14:val="none"/>
    </w:rPr>
  </w:style>
  <w:style w:type="character" w:customStyle="1" w:styleId="rynqvb">
    <w:name w:val="rynqvb"/>
    <w:basedOn w:val="Domylnaczcionkaakapitu"/>
    <w:rsid w:val="0020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Filewicz</dc:creator>
  <cp:keywords/>
  <dc:description/>
  <cp:lastModifiedBy>Małgorzata Filewicz</cp:lastModifiedBy>
  <cp:revision>3</cp:revision>
  <dcterms:created xsi:type="dcterms:W3CDTF">2025-11-28T13:44:00Z</dcterms:created>
  <dcterms:modified xsi:type="dcterms:W3CDTF">2025-11-28T13:44:00Z</dcterms:modified>
</cp:coreProperties>
</file>