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18"/>
        <w:gridCol w:w="6873"/>
        <w:gridCol w:w="4259"/>
      </w:tblGrid>
      <w:tr w:rsidR="00681F69" w:rsidRPr="008C1C78" w14:paraId="183E772F" w14:textId="77777777" w:rsidTr="008C1C78">
        <w:trPr>
          <w:gridAfter w:val="1"/>
          <w:wAfter w:w="4259" w:type="dxa"/>
          <w:trHeight w:val="3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CDE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18" w:type="dxa"/>
            <w:tcBorders>
              <w:top w:val="single" w:sz="8" w:space="0" w:color="ABABAB"/>
              <w:left w:val="single" w:sz="4" w:space="0" w:color="auto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E51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4.1.2 </w:t>
            </w:r>
            <w:proofErr w:type="spellStart"/>
            <w:r>
              <w:rPr>
                <w:color w:val="000000"/>
                <w:sz w:val="22"/>
                <w:szCs w:val="22"/>
              </w:rPr>
              <w:t>Warunki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płatności</w:t>
            </w:r>
            <w:proofErr w:type="spellEnd"/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49865" w14:textId="083AE051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Gwarancja zaliczki na drugą ratę nie jest akceptowalna. </w:t>
            </w:r>
            <w:r>
              <w:rPr>
                <w:color w:val="000000"/>
                <w:sz w:val="22"/>
                <w:szCs w:val="22"/>
                <w:lang w:val="pl-PL"/>
              </w:rPr>
              <w:t>Chwytnik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zostanie już zbudowany, przetransportowany i dostarczony.  Prośba o usunięcie punktu B 4.1.2 oraz punktu B 4.1.3</w:t>
            </w:r>
          </w:p>
          <w:p w14:paraId="601729E4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73AEE971" w14:textId="47860180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nie akceptuje: Nie akceptuje, ponieważ produkt zostanie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odebrany przez BCT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podczas ostatecznego protokołu akceptacji.</w:t>
            </w:r>
          </w:p>
        </w:tc>
      </w:tr>
      <w:tr w:rsidR="00681F69" w:rsidRPr="008C1C78" w14:paraId="54FC60D9" w14:textId="77777777" w:rsidTr="008C1C78">
        <w:trPr>
          <w:gridAfter w:val="1"/>
          <w:wAfter w:w="4259" w:type="dxa"/>
          <w:trHeight w:val="3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58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45334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6. </w:t>
            </w:r>
            <w:proofErr w:type="spellStart"/>
            <w:r>
              <w:rPr>
                <w:color w:val="000000"/>
                <w:sz w:val="22"/>
                <w:szCs w:val="22"/>
              </w:rPr>
              <w:t>Odpowiedzialność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color w:val="000000"/>
                <w:sz w:val="22"/>
                <w:szCs w:val="22"/>
              </w:rPr>
              <w:t>opóźnienia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8C416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Prośba o obniżenie maksymalnego LD do 5%</w:t>
            </w:r>
          </w:p>
          <w:p w14:paraId="513763CC" w14:textId="2493E74E" w:rsidR="00681F69" w:rsidRPr="00681F69" w:rsidRDefault="00681F69" w:rsidP="00681F69">
            <w:pPr>
              <w:rPr>
                <w:lang w:val="pl-PL"/>
              </w:rPr>
            </w:pP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BCT nie akceptuje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 ponieważ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wszyscy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oferenci w przetargach UE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>podlegają tym samym warunkom.</w:t>
            </w:r>
          </w:p>
        </w:tc>
      </w:tr>
      <w:tr w:rsidR="00681F69" w:rsidRPr="008C1C78" w14:paraId="22246DEE" w14:textId="77777777" w:rsidTr="008C1C78">
        <w:trPr>
          <w:gridAfter w:val="1"/>
          <w:wAfter w:w="4259" w:type="dxa"/>
          <w:trHeight w:val="3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991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50FBA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7. </w:t>
            </w:r>
            <w:proofErr w:type="spellStart"/>
            <w:r>
              <w:rPr>
                <w:color w:val="000000"/>
                <w:sz w:val="22"/>
                <w:szCs w:val="22"/>
              </w:rPr>
              <w:t>Przeniesienie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ryzyka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</w:rPr>
              <w:t>własności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3CBE" w14:textId="77777777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Ryzyko utraty lub uszkodzenia powinno zostać przeniesione na Kupującego w momencie dostawy, ponieważ produkt nie jest już objęty naszą ochroną i kontrolą.</w:t>
            </w:r>
          </w:p>
          <w:p w14:paraId="747C2D9F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5AEF1C7A" w14:textId="1CAFC6A2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>BCT nie akceptuje: BCT posiada zabezpieczeni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a na terenie terminala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więc ryzyko kradzieży lub uszkodzenia jest bardzo niskie,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dopiero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ostateczny protokół odbioru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podpisany przez Strony , który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odbywa się w ciągu jednego dnia roboczego w obecności </w:t>
            </w:r>
            <w:r>
              <w:rPr>
                <w:color w:val="0C882A"/>
                <w:sz w:val="22"/>
                <w:szCs w:val="22"/>
                <w:lang w:val="pl-PL"/>
              </w:rPr>
              <w:t>Dostawcy jest przeniesieniem własności na BCT.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Dopiero od tego momentu BCT może używać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chwytnika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 codziennych operacji.</w:t>
            </w:r>
          </w:p>
        </w:tc>
      </w:tr>
      <w:tr w:rsidR="00681F69" w14:paraId="228B3BBE" w14:textId="77777777" w:rsidTr="008C1C78">
        <w:trPr>
          <w:gridAfter w:val="1"/>
          <w:wAfter w:w="4259" w:type="dxa"/>
          <w:trHeight w:val="3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5B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091B5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15. OGRANICZENIE ODPOWIEDZIALNOŚCI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A06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wprowadzenie następujących zmian:</w:t>
            </w:r>
          </w:p>
          <w:p w14:paraId="476F51A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Z wyjątkiem przypadków wyraźnie określonych w niniejszej umowie lub wymaganych przez prawo obowiązkowe, odpowiedzialność stron za rzeczywiste bezpośrednie straty poniesione przez drugą stronę na mocy niniejszej umowy jest ograniczona do 100% ceny zakupu, maksymalnie do 500 000 EUR. W żadnym wypadku strony nie ponoszą odpowiedzialności za szkody pośrednie ani utracone zyski drugiej strony.</w:t>
            </w:r>
          </w:p>
          <w:p w14:paraId="149B3D4C" w14:textId="77777777" w:rsidR="00681F69" w:rsidRDefault="00681F69" w:rsidP="00681F69"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</w:t>
            </w:r>
            <w:proofErr w:type="spellStart"/>
            <w:r>
              <w:rPr>
                <w:color w:val="0C882A"/>
                <w:sz w:val="22"/>
                <w:szCs w:val="22"/>
                <w:shd w:val="clear" w:color="auto" w:fill="FFFFFF"/>
              </w:rPr>
              <w:t>akceptuje</w:t>
            </w:r>
            <w:proofErr w:type="spellEnd"/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81F69" w:rsidRPr="008C1C78" w14:paraId="37960BAC" w14:textId="77777777" w:rsidTr="008C1C78">
        <w:trPr>
          <w:gridAfter w:val="1"/>
          <w:wAfter w:w="4259" w:type="dxa"/>
          <w:trHeight w:val="144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52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1E7E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18. </w:t>
            </w:r>
            <w:proofErr w:type="spellStart"/>
            <w:r>
              <w:rPr>
                <w:color w:val="000000"/>
                <w:sz w:val="22"/>
                <w:szCs w:val="22"/>
              </w:rPr>
              <w:t>Siła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wyższa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E8044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dodanie następujących wydarzeń:</w:t>
            </w:r>
          </w:p>
          <w:p w14:paraId="781BAF41" w14:textId="548F5ABF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Brak dostępności płaskich </w:t>
            </w:r>
            <w:r>
              <w:rPr>
                <w:color w:val="000000"/>
                <w:sz w:val="22"/>
                <w:szCs w:val="22"/>
                <w:lang w:val="pl-PL"/>
              </w:rPr>
              <w:t>naczep,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odmowa załadunku produktów przez kapitana, rozładunek produktów na trasie, wolne pływanie, zła pogoda, warunki, opóźnienia w odprawie celnej itd.</w:t>
            </w:r>
          </w:p>
          <w:p w14:paraId="591F48CC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2038A170" w14:textId="5C599EE6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nie </w:t>
            </w:r>
            <w:r>
              <w:rPr>
                <w:color w:val="0C882A"/>
                <w:sz w:val="22"/>
                <w:szCs w:val="22"/>
                <w:lang w:val="pl-PL"/>
              </w:rPr>
              <w:t>akceptuje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>. Umowa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jest na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DAP </w:t>
            </w:r>
            <w:proofErr w:type="spellStart"/>
            <w:r w:rsidRPr="00681F69">
              <w:rPr>
                <w:color w:val="0C882A"/>
                <w:sz w:val="22"/>
                <w:szCs w:val="22"/>
                <w:lang w:val="pl-PL"/>
              </w:rPr>
              <w:t>Incoterm</w:t>
            </w:r>
            <w:proofErr w:type="spellEnd"/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2020, więc całe ryzyko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dostawy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pozostanie </w:t>
            </w:r>
            <w:r>
              <w:rPr>
                <w:color w:val="0C882A"/>
                <w:sz w:val="22"/>
                <w:szCs w:val="22"/>
                <w:lang w:val="pl-PL"/>
              </w:rPr>
              <w:t>w gestii Dostawcy.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, który jest zobowiązany do ubezpieczenia towarów w transporcie przed "wszelkimi </w:t>
            </w:r>
            <w:proofErr w:type="spellStart"/>
            <w:r w:rsidRPr="00681F69">
              <w:rPr>
                <w:color w:val="0C882A"/>
                <w:sz w:val="22"/>
                <w:szCs w:val="22"/>
                <w:lang w:val="pl-PL"/>
              </w:rPr>
              <w:t>ryzykami</w:t>
            </w:r>
            <w:proofErr w:type="spellEnd"/>
            <w:r w:rsidRPr="00681F69">
              <w:rPr>
                <w:color w:val="0C882A"/>
                <w:sz w:val="22"/>
                <w:szCs w:val="22"/>
                <w:lang w:val="pl-PL"/>
              </w:rPr>
              <w:t>".</w:t>
            </w:r>
          </w:p>
        </w:tc>
      </w:tr>
      <w:tr w:rsidR="00681F69" w14:paraId="1FC1E380" w14:textId="77777777" w:rsidTr="008C1C78">
        <w:trPr>
          <w:gridAfter w:val="1"/>
          <w:wAfter w:w="4259" w:type="dxa"/>
          <w:trHeight w:val="3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1FD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F5BD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24. </w:t>
            </w:r>
            <w:proofErr w:type="spellStart"/>
            <w:r>
              <w:rPr>
                <w:color w:val="000000"/>
                <w:sz w:val="22"/>
                <w:szCs w:val="22"/>
              </w:rPr>
              <w:t>Ubezpieczenia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34B8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24.2 Prosimy o wprowadzenie następujących zmian:</w:t>
            </w:r>
          </w:p>
          <w:p w14:paraId="68746C2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Całkowita odpowiedzialność sprzedającego za wszystkie przywrócenia w trakcie okresu obowiązywania polisy nie przekracza 100% pierwotnej sumy ubezpieczenia.</w:t>
            </w:r>
          </w:p>
          <w:p w14:paraId="556506C7" w14:textId="77777777" w:rsidR="00681F69" w:rsidRDefault="00681F69" w:rsidP="00681F69"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</w:t>
            </w:r>
            <w:proofErr w:type="spellStart"/>
            <w:r>
              <w:rPr>
                <w:color w:val="0C882A"/>
                <w:sz w:val="22"/>
                <w:szCs w:val="22"/>
                <w:shd w:val="clear" w:color="auto" w:fill="FFFFFF"/>
              </w:rPr>
              <w:t>akceptuje</w:t>
            </w:r>
            <w:proofErr w:type="spellEnd"/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81F69" w:rsidRPr="008C1C78" w14:paraId="7E10AE51" w14:textId="77777777" w:rsidTr="008C1C78">
        <w:trPr>
          <w:gridAfter w:val="1"/>
          <w:wAfter w:w="4259" w:type="dxa"/>
          <w:trHeight w:val="33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BD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39FE7" w14:textId="77777777" w:rsidR="00681F69" w:rsidRDefault="00681F69" w:rsidP="00681F69">
            <w:proofErr w:type="spellStart"/>
            <w:r>
              <w:rPr>
                <w:color w:val="000000"/>
                <w:sz w:val="22"/>
                <w:szCs w:val="22"/>
              </w:rPr>
              <w:t>Załącznik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 Format </w:t>
            </w:r>
            <w:proofErr w:type="spellStart"/>
            <w:r>
              <w:rPr>
                <w:color w:val="000000"/>
                <w:sz w:val="22"/>
                <w:szCs w:val="22"/>
              </w:rPr>
              <w:t>gwarancji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zaliczki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A37C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Szablon gwarancji płatniczej zostanie zaakceptowany przez Oferenta, jednak pod warunkiem, że obowiązuje jeden z poniższych identyfikatorów BIC/SWIFT:</w:t>
            </w:r>
          </w:p>
          <w:p w14:paraId="4E29FB52" w14:textId="0FC2AA74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akceptuje: Bank HSCB Continental Europe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jako przykład akceptowalnego banku.</w:t>
            </w:r>
          </w:p>
          <w:p w14:paraId="3B9B5D91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 </w:t>
            </w:r>
          </w:p>
          <w:p w14:paraId="52616947" w14:textId="77777777" w:rsidR="00681F69" w:rsidRPr="00681F69" w:rsidRDefault="00681F69" w:rsidP="00681F69">
            <w:pPr>
              <w:rPr>
                <w:lang w:val="pl-PL"/>
              </w:rPr>
            </w:pPr>
          </w:p>
        </w:tc>
      </w:tr>
      <w:tr w:rsidR="00681F69" w:rsidRPr="008C1C78" w14:paraId="1B36E2DE" w14:textId="77777777" w:rsidTr="008C1C78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C5E59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5F29" w14:textId="77777777" w:rsidR="00681F69" w:rsidRPr="00681F69" w:rsidRDefault="00681F69" w:rsidP="00681F69">
            <w:pPr>
              <w:spacing w:after="160" w:line="278" w:lineRule="auto"/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</w:pPr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Proszę potwierdzić, że funkcja bocznego przesuwania o 200 mm w obu kierunkach powinna zostać dodana do </w:t>
            </w:r>
            <w:proofErr w:type="spellStart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SoW</w:t>
            </w:r>
            <w:proofErr w:type="spellEnd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 harmonogramu 5. specyfikacja techniczna.  </w:t>
            </w:r>
          </w:p>
          <w:p w14:paraId="719B9822" w14:textId="5B093CF0" w:rsidR="00681F69" w:rsidRPr="00681F69" w:rsidRDefault="00681F69" w:rsidP="00681F69">
            <w:pPr>
              <w:spacing w:after="160" w:line="278" w:lineRule="auto"/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>BCT potwierdza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, 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 xml:space="preserve">funkcja bocznego przesunięcia powinna być ± </w:t>
            </w:r>
            <w:r w:rsidRPr="00681F69">
              <w:rPr>
                <w:rFonts w:ascii="Aptos Narrow" w:hAnsi="Aptos Narrow" w:cs="Calibri"/>
                <w:color w:val="00B050"/>
                <w:sz w:val="22"/>
                <w:szCs w:val="22"/>
                <w:lang w:val="pl-PL"/>
              </w:rPr>
              <w:t>300mm</w:t>
            </w:r>
            <w:r w:rsidRPr="00681F69"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  <w:t>/w obie strony/</w:t>
            </w:r>
          </w:p>
        </w:tc>
        <w:tc>
          <w:tcPr>
            <w:tcW w:w="4259" w:type="dxa"/>
            <w:vAlign w:val="center"/>
          </w:tcPr>
          <w:p w14:paraId="7928544C" w14:textId="77777777" w:rsidR="00681F69" w:rsidRPr="00681F69" w:rsidRDefault="00681F69" w:rsidP="00681F69">
            <w:pPr>
              <w:spacing w:after="160" w:line="278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pl-PL"/>
              </w:rPr>
            </w:pPr>
          </w:p>
        </w:tc>
      </w:tr>
      <w:tr w:rsidR="00681F69" w:rsidRPr="00501D52" w14:paraId="1D10E81D" w14:textId="77777777" w:rsidTr="008C1C78">
        <w:tblPrEx>
          <w:tblCellMar>
            <w:left w:w="108" w:type="dxa"/>
            <w:right w:w="108" w:type="dxa"/>
          </w:tblCellMar>
        </w:tblPrEx>
        <w:trPr>
          <w:gridAfter w:val="1"/>
          <w:wAfter w:w="4259" w:type="dxa"/>
          <w:trHeight w:val="45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A30D9" w14:textId="77777777" w:rsidR="00681F69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  <w:p w14:paraId="5320B246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3FF2C" w14:textId="77777777" w:rsidR="00681F69" w:rsidRPr="00681F69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Prosimy o potwierdzenie wymaganych funkcji grzewczych, które powinny być uwzględnione w </w:t>
            </w:r>
            <w:proofErr w:type="spellStart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SoW</w:t>
            </w:r>
            <w:proofErr w:type="spellEnd"/>
            <w:r w:rsidRPr="00681F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. </w:t>
            </w:r>
          </w:p>
          <w:p w14:paraId="1F41095D" w14:textId="58FD88F0" w:rsidR="00681F69" w:rsidRPr="001B1D9B" w:rsidRDefault="00681F69" w:rsidP="00681F69">
            <w:pP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 xml:space="preserve">BCT </w:t>
            </w:r>
            <w:proofErr w:type="spellStart"/>
            <w: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potwierdza</w:t>
            </w:r>
            <w:proofErr w:type="spellEnd"/>
            <w: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.</w:t>
            </w:r>
          </w:p>
        </w:tc>
      </w:tr>
      <w:tr w:rsidR="008C1C78" w:rsidRPr="00501D52" w14:paraId="0AE4289C" w14:textId="77777777" w:rsidTr="008C1C78">
        <w:tblPrEx>
          <w:tblCellMar>
            <w:left w:w="108" w:type="dxa"/>
            <w:right w:w="108" w:type="dxa"/>
          </w:tblCellMar>
        </w:tblPrEx>
        <w:trPr>
          <w:gridAfter w:val="1"/>
          <w:wAfter w:w="4259" w:type="dxa"/>
          <w:trHeight w:val="45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0D73A" w14:textId="77777777" w:rsidR="008C1C78" w:rsidRDefault="008C1C78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9619" w14:textId="77777777" w:rsidR="008C1C78" w:rsidRPr="00681F69" w:rsidRDefault="008C1C78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26D4665E" w14:textId="77777777" w:rsidR="008C1C78" w:rsidRDefault="00681F69" w:rsidP="00681F69">
      <w:r>
        <w:t xml:space="preserve"> </w:t>
      </w:r>
    </w:p>
    <w:tbl>
      <w:tblPr>
        <w:tblpPr w:leftFromText="180" w:rightFromText="180" w:vertAnchor="text" w:tblpY="1"/>
        <w:tblOverlap w:val="never"/>
        <w:tblW w:w="13764" w:type="dxa"/>
        <w:tblLook w:val="04A0" w:firstRow="1" w:lastRow="0" w:firstColumn="1" w:lastColumn="0" w:noHBand="0" w:noVBand="1"/>
      </w:tblPr>
      <w:tblGrid>
        <w:gridCol w:w="656"/>
        <w:gridCol w:w="13108"/>
      </w:tblGrid>
      <w:tr w:rsidR="008C1C78" w:rsidRPr="00681F69" w14:paraId="01C279F4" w14:textId="77777777" w:rsidTr="005C4702"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7FE23" w14:textId="0BC3DED5" w:rsidR="008C1C78" w:rsidRPr="00501D52" w:rsidRDefault="008C1C78" w:rsidP="005C470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32B0" w14:textId="77777777" w:rsidR="008C1C78" w:rsidRDefault="008C1C78" w:rsidP="005C4702">
            <w:pPr>
              <w:spacing w:after="160" w:line="278" w:lineRule="auto"/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 </w:t>
            </w:r>
            <w:r w:rsidRPr="008C1C78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>Czy RTG wymaga przesunięcia o 300 mm w obu kierunkach, jak wspomniano w załączniku?</w:t>
            </w:r>
            <w:r w:rsidRPr="008C1C78">
              <w:rPr>
                <w:rFonts w:ascii="Roboto" w:hAnsi="Roboto"/>
                <w:color w:val="005BA1"/>
                <w:sz w:val="21"/>
                <w:szCs w:val="21"/>
                <w:lang w:val="pl-PL"/>
              </w:rPr>
              <w:br/>
            </w:r>
            <w:r w:rsidRPr="008C1C78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 xml:space="preserve">- Proszę potwierdzić, które pomiary grzewcze są wymagane (np. podgrzewanie silników elektrycznych, </w:t>
            </w:r>
          </w:p>
          <w:p w14:paraId="034EF306" w14:textId="77777777" w:rsidR="008C1C78" w:rsidRDefault="008C1C78" w:rsidP="005C4702">
            <w:pPr>
              <w:spacing w:after="160" w:line="278" w:lineRule="auto"/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</w:pPr>
            <w:r w:rsidRPr="008C1C78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>podgrzewanie szafy elektrycznej).</w:t>
            </w:r>
          </w:p>
          <w:p w14:paraId="547F634F" w14:textId="612E53B5" w:rsidR="008C1C78" w:rsidRDefault="008C1C78" w:rsidP="005C4702">
            <w:pPr>
              <w:spacing w:after="160" w:line="278" w:lineRule="auto"/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</w:pP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BCT: Tak, dla RTG wymóg wynosi ±300 mm, identycznie jak w </w:t>
            </w:r>
            <w:r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>s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>prężarkach obecnie eksploatowanych.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lang w:val="pl-PL"/>
              </w:rPr>
              <w:br/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- Potwierdzamy, że dla </w:t>
            </w:r>
            <w:r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>s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prężarek RTG wymagane są podgrzewacze przestrzeni dla silników </w:t>
            </w:r>
          </w:p>
          <w:p w14:paraId="75FC3FE0" w14:textId="77777777" w:rsidR="008C1C78" w:rsidRDefault="008C1C78" w:rsidP="005C4702">
            <w:pPr>
              <w:spacing w:after="160" w:line="278" w:lineRule="auto"/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</w:pP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elektrycznych i szafy elektrycznej, aby zapewnić, że </w:t>
            </w:r>
            <w:r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>s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>prężarka spełnia określone wymagania</w:t>
            </w:r>
          </w:p>
          <w:p w14:paraId="204E954D" w14:textId="17F03A60" w:rsidR="008C1C78" w:rsidRPr="008C1C78" w:rsidRDefault="008C1C78" w:rsidP="005C4702">
            <w:pPr>
              <w:spacing w:after="160" w:line="278" w:lineRule="auto"/>
              <w:rPr>
                <w:rFonts w:ascii="Calibri" w:hAnsi="Calibri" w:cs="Calibri"/>
                <w:color w:val="00B050"/>
                <w:sz w:val="22"/>
                <w:szCs w:val="22"/>
                <w:lang w:val="pl-PL"/>
              </w:rPr>
            </w:pP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 klimatyczne.</w:t>
            </w:r>
          </w:p>
        </w:tc>
      </w:tr>
      <w:tr w:rsidR="008C1C78" w:rsidRPr="008C1C78" w14:paraId="29DEC092" w14:textId="77777777" w:rsidTr="005C4702">
        <w:trPr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D23FD" w14:textId="5EAEBA6B" w:rsidR="008C1C78" w:rsidRDefault="008C1C78" w:rsidP="005C470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  <w:p w14:paraId="04EA6A0C" w14:textId="77777777" w:rsidR="008C1C78" w:rsidRPr="00501D52" w:rsidRDefault="008C1C78" w:rsidP="005C470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AA67" w14:textId="77777777" w:rsidR="008C1C78" w:rsidRDefault="008C1C78" w:rsidP="005C4702">
            <w:pPr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 </w:t>
            </w:r>
            <w:r w:rsidRPr="008C1C78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 xml:space="preserve"> </w:t>
            </w:r>
            <w:r w:rsidRPr="008C1C78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 xml:space="preserve">Prosimy o potwierdzenie, które pomiary grzewcze są wymagane (np. podgrzewanie silników </w:t>
            </w:r>
          </w:p>
          <w:p w14:paraId="3CA82770" w14:textId="4CDC16D5" w:rsidR="008C1C78" w:rsidRPr="008C1C78" w:rsidRDefault="008C1C78" w:rsidP="005C4702">
            <w:pPr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</w:pPr>
            <w:r w:rsidRPr="008C1C78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>elektrycznych, podgrzewanie szafy elektrycznej).</w:t>
            </w:r>
            <w:r w:rsidRPr="008C1C78">
              <w:rPr>
                <w:rFonts w:ascii="Roboto" w:hAnsi="Roboto"/>
                <w:color w:val="005BA1"/>
                <w:sz w:val="21"/>
                <w:szCs w:val="21"/>
                <w:lang w:val="pl-PL"/>
              </w:rPr>
              <w:br/>
            </w:r>
            <w:r w:rsidRPr="008C1C78">
              <w:rPr>
                <w:rFonts w:ascii="Roboto" w:hAnsi="Roboto"/>
                <w:color w:val="005BA1"/>
                <w:sz w:val="21"/>
                <w:szCs w:val="21"/>
                <w:lang w:val="pl-PL"/>
              </w:rPr>
              <w:br/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BCT potwierdza: że dla 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chwytników 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RTG wymagane są 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pomiary 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 dla silników </w:t>
            </w:r>
          </w:p>
          <w:p w14:paraId="17EAE84E" w14:textId="1CE83104" w:rsidR="008C1C78" w:rsidRPr="008C1C78" w:rsidRDefault="008C1C78" w:rsidP="005C4702">
            <w:pP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  <w:lang w:val="pl-PL"/>
              </w:rPr>
            </w:pP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elektrycznych i szafy elektrycznej, aby 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>chwytnik</w:t>
            </w:r>
            <w:r w:rsidRPr="008C1C78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 spełniał określone wymagania klimatyczne.</w:t>
            </w:r>
          </w:p>
        </w:tc>
      </w:tr>
    </w:tbl>
    <w:p w14:paraId="2CA56446" w14:textId="6DF68EE2" w:rsidR="00681F69" w:rsidRPr="008C1C78" w:rsidRDefault="00681F69" w:rsidP="00681F69">
      <w:pPr>
        <w:rPr>
          <w:lang w:val="pl-PL"/>
        </w:rPr>
      </w:pPr>
      <w:r w:rsidRPr="008C1C78">
        <w:rPr>
          <w:lang w:val="pl-PL"/>
        </w:rPr>
        <w:br w:type="textWrapping" w:clear="all"/>
      </w:r>
    </w:p>
    <w:p w14:paraId="5F6C78DD" w14:textId="7B41C15E" w:rsidR="00A324F8" w:rsidRPr="008C1C78" w:rsidRDefault="00A324F8">
      <w:pPr>
        <w:rPr>
          <w:lang w:val="pl-PL"/>
        </w:rPr>
      </w:pPr>
    </w:p>
    <w:sectPr w:rsidR="00A324F8" w:rsidRPr="008C1C78" w:rsidSect="0050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41A2" w14:textId="77777777" w:rsidR="001207F1" w:rsidRDefault="001207F1" w:rsidP="00C53F64">
      <w:r>
        <w:separator/>
      </w:r>
    </w:p>
  </w:endnote>
  <w:endnote w:type="continuationSeparator" w:id="0">
    <w:p w14:paraId="00C18DDA" w14:textId="77777777" w:rsidR="001207F1" w:rsidRDefault="001207F1" w:rsidP="00C5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B472" w14:textId="77777777" w:rsidR="00681F69" w:rsidRDefault="00681F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89A1" w14:textId="77777777" w:rsidR="00681F69" w:rsidRDefault="00681F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0252" w14:textId="77777777" w:rsidR="00681F69" w:rsidRDefault="00681F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120E" w14:textId="77777777" w:rsidR="001207F1" w:rsidRDefault="001207F1" w:rsidP="00C53F64">
      <w:r>
        <w:separator/>
      </w:r>
    </w:p>
  </w:footnote>
  <w:footnote w:type="continuationSeparator" w:id="0">
    <w:p w14:paraId="09F82F05" w14:textId="77777777" w:rsidR="001207F1" w:rsidRDefault="001207F1" w:rsidP="00C5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23D" w14:textId="77777777" w:rsidR="00681F69" w:rsidRDefault="00681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ACEA" w14:textId="5F90263B" w:rsidR="00C53F64" w:rsidRPr="00681F69" w:rsidRDefault="00681F69" w:rsidP="00C53F64">
    <w:pPr>
      <w:rPr>
        <w:rFonts w:eastAsia="Aptos"/>
        <w:b/>
        <w:bCs/>
        <w:sz w:val="22"/>
        <w:szCs w:val="22"/>
        <w:lang w:val="pl-PL" w:eastAsia="pl-PL"/>
      </w:rPr>
    </w:pPr>
    <w:r w:rsidRPr="00681F69">
      <w:rPr>
        <w:rFonts w:eastAsia="Aptos"/>
        <w:b/>
        <w:bCs/>
        <w:sz w:val="22"/>
        <w:szCs w:val="22"/>
        <w:lang w:val="pl-PL" w:eastAsia="pl-PL"/>
      </w:rPr>
      <w:t xml:space="preserve">Pytania I Odpowiedzi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: </w:t>
    </w:r>
    <w:r>
      <w:rPr>
        <w:rFonts w:eastAsia="Aptos"/>
        <w:b/>
        <w:bCs/>
        <w:sz w:val="22"/>
        <w:szCs w:val="22"/>
        <w:lang w:val="pl-PL" w:eastAsia="pl-PL"/>
      </w:rPr>
      <w:t xml:space="preserve">Przetarg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EU/40 /RTG </w:t>
    </w:r>
    <w:proofErr w:type="spellStart"/>
    <w:r w:rsidR="00C53F64" w:rsidRPr="00681F69">
      <w:rPr>
        <w:rFonts w:eastAsia="Aptos"/>
        <w:b/>
        <w:bCs/>
        <w:sz w:val="22"/>
        <w:szCs w:val="22"/>
        <w:lang w:val="pl-PL" w:eastAsia="pl-PL"/>
      </w:rPr>
      <w:t>Spr</w:t>
    </w:r>
    <w:proofErr w:type="spellEnd"/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/ZZ/2025 </w:t>
    </w:r>
  </w:p>
  <w:p w14:paraId="34C047C1" w14:textId="202CBC42" w:rsidR="00C53F64" w:rsidRPr="00C53F64" w:rsidRDefault="00681F69" w:rsidP="00C53F64">
    <w:pPr>
      <w:pStyle w:val="Akapitzlist"/>
      <w:numPr>
        <w:ilvl w:val="0"/>
        <w:numId w:val="2"/>
      </w:numPr>
      <w:rPr>
        <w:rFonts w:eastAsia="Aptos"/>
        <w:sz w:val="22"/>
        <w:szCs w:val="22"/>
        <w:lang w:eastAsia="pl-PL"/>
      </w:rPr>
    </w:pPr>
    <w:r>
      <w:rPr>
        <w:rFonts w:eastAsia="Aptos"/>
        <w:sz w:val="22"/>
        <w:szCs w:val="22"/>
        <w:lang w:eastAsia="pl-PL"/>
      </w:rPr>
      <w:t xml:space="preserve">Listopad </w:t>
    </w:r>
    <w:r w:rsidR="00C53F64">
      <w:rPr>
        <w:rFonts w:eastAsia="Aptos"/>
        <w:sz w:val="22"/>
        <w:szCs w:val="22"/>
        <w:lang w:eastAsia="pl-PL"/>
      </w:rPr>
      <w:t xml:space="preserve"> </w:t>
    </w:r>
    <w:r w:rsidR="00C53F64" w:rsidRPr="00C53F64">
      <w:rPr>
        <w:rFonts w:eastAsia="Aptos"/>
        <w:sz w:val="22"/>
        <w:szCs w:val="22"/>
        <w:lang w:eastAsia="pl-PL"/>
      </w:rPr>
      <w:t xml:space="preserve">2025; </w:t>
    </w:r>
    <w:r w:rsidR="008B65E7">
      <w:rPr>
        <w:rFonts w:eastAsia="Aptos"/>
        <w:sz w:val="22"/>
        <w:szCs w:val="22"/>
        <w:lang w:eastAsia="pl-PL"/>
      </w:rPr>
      <w:t xml:space="preserve">28 Listopad 2025 </w:t>
    </w:r>
  </w:p>
  <w:p w14:paraId="4F8D7A2C" w14:textId="77777777" w:rsidR="00C53F64" w:rsidRPr="00C53F64" w:rsidRDefault="00C53F64" w:rsidP="00C53F64">
    <w:pPr>
      <w:rPr>
        <w:lang w:val="pl-PL"/>
      </w:rPr>
    </w:pPr>
  </w:p>
  <w:p w14:paraId="35A5A9C4" w14:textId="77777777" w:rsidR="00C53F64" w:rsidRDefault="00C53F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435F" w14:textId="77777777" w:rsidR="00681F69" w:rsidRDefault="00681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12F"/>
    <w:multiLevelType w:val="hybridMultilevel"/>
    <w:tmpl w:val="D6AE6962"/>
    <w:lvl w:ilvl="0" w:tplc="8DCA2A1C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DAD184A"/>
    <w:multiLevelType w:val="hybridMultilevel"/>
    <w:tmpl w:val="AB3CADB8"/>
    <w:lvl w:ilvl="0" w:tplc="4D5E8AE2">
      <w:start w:val="27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957642494">
    <w:abstractNumId w:val="0"/>
  </w:num>
  <w:num w:numId="2" w16cid:durableId="121866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08"/>
    <w:rsid w:val="000563FD"/>
    <w:rsid w:val="00086E8D"/>
    <w:rsid w:val="001207F1"/>
    <w:rsid w:val="001B1D9B"/>
    <w:rsid w:val="002567E0"/>
    <w:rsid w:val="002C4AE4"/>
    <w:rsid w:val="003E157E"/>
    <w:rsid w:val="00501D52"/>
    <w:rsid w:val="00507FDB"/>
    <w:rsid w:val="005A3AFF"/>
    <w:rsid w:val="00681F69"/>
    <w:rsid w:val="00682124"/>
    <w:rsid w:val="006D0514"/>
    <w:rsid w:val="006D672D"/>
    <w:rsid w:val="00757E4C"/>
    <w:rsid w:val="00842D08"/>
    <w:rsid w:val="008933AD"/>
    <w:rsid w:val="008B65E7"/>
    <w:rsid w:val="008C1C78"/>
    <w:rsid w:val="00992BCE"/>
    <w:rsid w:val="009C419B"/>
    <w:rsid w:val="00A324F8"/>
    <w:rsid w:val="00A5506A"/>
    <w:rsid w:val="00C53F64"/>
    <w:rsid w:val="00CB327E"/>
    <w:rsid w:val="00CC7257"/>
    <w:rsid w:val="00D773AD"/>
    <w:rsid w:val="00E8165D"/>
    <w:rsid w:val="00ED1A40"/>
    <w:rsid w:val="00E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221B"/>
  <w15:chartTrackingRefBased/>
  <w15:docId w15:val="{A81204FC-2C14-4E18-AF4F-BFD373D4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D0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D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D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D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D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D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D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F64"/>
    <w:rPr>
      <w:rFonts w:ascii="Aptos" w:hAnsi="Aptos" w:cs="Aptos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F64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Filewicz</dc:creator>
  <cp:keywords/>
  <dc:description/>
  <cp:lastModifiedBy>Małgorzata Filewicz</cp:lastModifiedBy>
  <cp:revision>3</cp:revision>
  <dcterms:created xsi:type="dcterms:W3CDTF">2025-11-28T13:33:00Z</dcterms:created>
  <dcterms:modified xsi:type="dcterms:W3CDTF">2025-11-28T13:33:00Z</dcterms:modified>
</cp:coreProperties>
</file>